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8A8" w:rsidRPr="000268F0" w:rsidRDefault="004778A8" w:rsidP="00B70DE7">
      <w:pPr>
        <w:pStyle w:val="Heading1"/>
        <w:rPr>
          <w:rStyle w:val="shorttext"/>
          <w:b w:val="0"/>
          <w:sz w:val="2"/>
          <w:szCs w:val="34"/>
          <w:shd w:val="clear" w:color="auto" w:fill="FFFFFF"/>
          <w:lang w:val="id-ID"/>
        </w:rPr>
      </w:pPr>
    </w:p>
    <w:p w:rsidR="00D41274" w:rsidRPr="00580E6E" w:rsidRDefault="0043798F" w:rsidP="0043798F">
      <w:pPr>
        <w:pStyle w:val="IEEETitle"/>
        <w:tabs>
          <w:tab w:val="left" w:pos="1014"/>
          <w:tab w:val="center" w:pos="5017"/>
        </w:tabs>
        <w:spacing w:after="240"/>
        <w:rPr>
          <w:b/>
          <w:sz w:val="28"/>
          <w:szCs w:val="28"/>
          <w:lang w:val="en-US"/>
        </w:rPr>
      </w:pPr>
      <w:r>
        <w:rPr>
          <w:rStyle w:val="shorttext"/>
          <w:b/>
          <w:sz w:val="34"/>
          <w:szCs w:val="34"/>
          <w:shd w:val="clear" w:color="auto" w:fill="FFFFFF"/>
          <w:lang w:val="en-US"/>
        </w:rPr>
        <w:t xml:space="preserve">Time Series </w:t>
      </w:r>
      <w:r w:rsidR="004211FE" w:rsidRPr="000268F0">
        <w:rPr>
          <w:rStyle w:val="shorttext"/>
          <w:b/>
          <w:sz w:val="34"/>
          <w:szCs w:val="34"/>
          <w:shd w:val="clear" w:color="auto" w:fill="FFFFFF"/>
          <w:lang w:val="id-ID"/>
        </w:rPr>
        <w:tab/>
      </w:r>
      <w:r w:rsidR="00F728F5">
        <w:rPr>
          <w:rStyle w:val="shorttext"/>
          <w:b/>
          <w:sz w:val="34"/>
          <w:szCs w:val="34"/>
          <w:shd w:val="clear" w:color="auto" w:fill="FFFFFF"/>
          <w:lang w:val="en-US"/>
        </w:rPr>
        <w:t xml:space="preserve">Forecasting </w:t>
      </w:r>
      <w:r>
        <w:rPr>
          <w:rStyle w:val="shorttext"/>
          <w:b/>
          <w:sz w:val="34"/>
          <w:szCs w:val="34"/>
          <w:shd w:val="clear" w:color="auto" w:fill="FFFFFF"/>
          <w:lang w:val="en-US"/>
        </w:rPr>
        <w:t>in Finance</w:t>
      </w:r>
      <w:r w:rsidR="00F728F5">
        <w:rPr>
          <w:rStyle w:val="shorttext"/>
          <w:b/>
          <w:sz w:val="34"/>
          <w:szCs w:val="34"/>
          <w:shd w:val="clear" w:color="auto" w:fill="FFFFFF"/>
          <w:lang w:val="en-US"/>
        </w:rPr>
        <w:t xml:space="preserve"> Using C</w:t>
      </w:r>
      <w:r>
        <w:rPr>
          <w:rStyle w:val="shorttext"/>
          <w:b/>
          <w:sz w:val="34"/>
          <w:szCs w:val="34"/>
          <w:shd w:val="clear" w:color="auto" w:fill="FFFFFF"/>
          <w:lang w:val="en-US"/>
        </w:rPr>
        <w:t xml:space="preserve">onvolutional </w:t>
      </w:r>
      <w:r w:rsidR="00F728F5">
        <w:rPr>
          <w:rStyle w:val="shorttext"/>
          <w:b/>
          <w:sz w:val="34"/>
          <w:szCs w:val="34"/>
          <w:shd w:val="clear" w:color="auto" w:fill="FFFFFF"/>
          <w:lang w:val="en-US"/>
        </w:rPr>
        <w:t>N</w:t>
      </w:r>
      <w:r>
        <w:rPr>
          <w:rStyle w:val="shorttext"/>
          <w:b/>
          <w:sz w:val="34"/>
          <w:szCs w:val="34"/>
          <w:shd w:val="clear" w:color="auto" w:fill="FFFFFF"/>
          <w:lang w:val="en-US"/>
        </w:rPr>
        <w:t xml:space="preserve">eural </w:t>
      </w:r>
      <w:r w:rsidR="00F728F5">
        <w:rPr>
          <w:rStyle w:val="shorttext"/>
          <w:b/>
          <w:sz w:val="34"/>
          <w:szCs w:val="34"/>
          <w:shd w:val="clear" w:color="auto" w:fill="FFFFFF"/>
          <w:lang w:val="en-US"/>
        </w:rPr>
        <w:t>N</w:t>
      </w:r>
      <w:r>
        <w:rPr>
          <w:rStyle w:val="shorttext"/>
          <w:b/>
          <w:sz w:val="34"/>
          <w:szCs w:val="34"/>
          <w:shd w:val="clear" w:color="auto" w:fill="FFFFFF"/>
          <w:lang w:val="en-US"/>
        </w:rPr>
        <w:t>etwork</w:t>
      </w:r>
      <w:r w:rsidR="003B2523">
        <w:rPr>
          <w:rStyle w:val="shorttext"/>
          <w:b/>
          <w:sz w:val="34"/>
          <w:szCs w:val="34"/>
          <w:shd w:val="clear" w:color="auto" w:fill="FFFFFF"/>
          <w:lang w:val="en-US"/>
        </w:rPr>
        <w:t xml:space="preserve"> (CNN)</w:t>
      </w:r>
      <w:r w:rsidR="00F728F5">
        <w:rPr>
          <w:rStyle w:val="shorttext"/>
          <w:b/>
          <w:sz w:val="34"/>
          <w:szCs w:val="34"/>
          <w:shd w:val="clear" w:color="auto" w:fill="FFFFFF"/>
          <w:lang w:val="en-US"/>
        </w:rPr>
        <w:t xml:space="preserve"> model</w:t>
      </w:r>
    </w:p>
    <w:p w:rsidR="000268F0" w:rsidRPr="007173F0" w:rsidRDefault="00F728F5" w:rsidP="000268F0">
      <w:pPr>
        <w:spacing w:after="120"/>
        <w:jc w:val="center"/>
        <w:rPr>
          <w:b/>
          <w:bCs/>
          <w:lang w:val="en-IN" w:eastAsia="en-IN"/>
        </w:rPr>
      </w:pPr>
      <w:r>
        <w:rPr>
          <w:b/>
          <w:bCs/>
          <w:lang w:val="en-IN" w:eastAsia="en-IN"/>
        </w:rPr>
        <w:t>Dhananjay N. Kalange</w:t>
      </w:r>
    </w:p>
    <w:p w:rsidR="000268F0" w:rsidRPr="00E863E2" w:rsidRDefault="000268F0" w:rsidP="000268F0">
      <w:pPr>
        <w:jc w:val="center"/>
        <w:rPr>
          <w:i/>
          <w:iCs/>
          <w:sz w:val="22"/>
          <w:szCs w:val="22"/>
          <w:lang w:val="en-IN" w:eastAsia="en-IN"/>
        </w:rPr>
      </w:pPr>
      <w:r w:rsidRPr="00E863E2">
        <w:rPr>
          <w:i/>
          <w:iCs/>
          <w:sz w:val="22"/>
          <w:szCs w:val="22"/>
          <w:lang w:val="en-IN" w:eastAsia="en-IN"/>
        </w:rPr>
        <w:t xml:space="preserve"> </w:t>
      </w:r>
      <w:r w:rsidR="00F728F5">
        <w:rPr>
          <w:i/>
          <w:iCs/>
          <w:sz w:val="22"/>
          <w:szCs w:val="22"/>
          <w:lang w:val="en-IN" w:eastAsia="en-IN"/>
        </w:rPr>
        <w:t>A. C. S. College, Palus, India</w:t>
      </w:r>
    </w:p>
    <w:p w:rsidR="00F728F5" w:rsidRDefault="00F728F5" w:rsidP="000268F0">
      <w:pPr>
        <w:jc w:val="center"/>
        <w:rPr>
          <w:i/>
          <w:iCs/>
          <w:sz w:val="20"/>
          <w:szCs w:val="20"/>
          <w:lang w:val="en-IN" w:eastAsia="en-IN"/>
        </w:rPr>
      </w:pPr>
    </w:p>
    <w:p w:rsidR="00D41274" w:rsidRPr="00F3483B" w:rsidRDefault="000268F0" w:rsidP="000268F0">
      <w:pPr>
        <w:jc w:val="center"/>
        <w:rPr>
          <w:i/>
          <w:iCs/>
          <w:sz w:val="20"/>
          <w:szCs w:val="20"/>
        </w:rPr>
        <w:sectPr w:rsidR="00D41274" w:rsidRPr="00F3483B" w:rsidSect="00AD3C84">
          <w:headerReference w:type="even" r:id="rId8"/>
          <w:headerReference w:type="default" r:id="rId9"/>
          <w:headerReference w:type="first" r:id="rId10"/>
          <w:footerReference w:type="first" r:id="rId11"/>
          <w:pgSz w:w="11906" w:h="16838" w:code="9"/>
          <w:pgMar w:top="1134" w:right="1134" w:bottom="1134" w:left="1134" w:header="851" w:footer="567" w:gutter="0"/>
          <w:cols w:space="708"/>
          <w:titlePg/>
          <w:docGrid w:linePitch="360"/>
        </w:sectPr>
      </w:pPr>
      <w:r w:rsidRPr="00F3483B">
        <w:rPr>
          <w:i/>
          <w:iCs/>
          <w:sz w:val="20"/>
          <w:szCs w:val="20"/>
          <w:lang w:val="en-IN" w:eastAsia="en-IN"/>
        </w:rPr>
        <w:t xml:space="preserve">Email: </w:t>
      </w:r>
      <w:r w:rsidR="00F728F5">
        <w:rPr>
          <w:i/>
          <w:iCs/>
          <w:sz w:val="20"/>
          <w:szCs w:val="20"/>
          <w:lang w:val="en-IN" w:eastAsia="en-IN"/>
        </w:rPr>
        <w:t>dnkalange@</w:t>
      </w:r>
      <w:r w:rsidRPr="00F3483B">
        <w:rPr>
          <w:i/>
          <w:iCs/>
          <w:sz w:val="20"/>
          <w:szCs w:val="20"/>
          <w:lang w:val="en-IN" w:eastAsia="en-IN"/>
        </w:rPr>
        <w:t>gmail.com</w:t>
      </w:r>
    </w:p>
    <w:p w:rsidR="009D3C51" w:rsidRPr="000268F0" w:rsidRDefault="009D3C51" w:rsidP="000268F0">
      <w:pPr>
        <w:pStyle w:val="IEEEAbtract"/>
        <w:ind w:right="1779"/>
        <w:rPr>
          <w:lang w:val="id-ID"/>
        </w:rPr>
      </w:pPr>
    </w:p>
    <w:tbl>
      <w:tblPr>
        <w:tblStyle w:val="PlainTable21"/>
        <w:tblW w:w="9013" w:type="dxa"/>
        <w:tblLook w:val="04A0" w:firstRow="1" w:lastRow="0" w:firstColumn="1" w:lastColumn="0" w:noHBand="0" w:noVBand="1"/>
      </w:tblPr>
      <w:tblGrid>
        <w:gridCol w:w="9013"/>
      </w:tblGrid>
      <w:tr w:rsidR="008045CB" w:rsidRPr="000268F0" w:rsidTr="00A23F1C">
        <w:trPr>
          <w:cnfStyle w:val="100000000000" w:firstRow="1" w:lastRow="0" w:firstColumn="0" w:lastColumn="0" w:oddVBand="0" w:evenVBand="0" w:oddHBand="0"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9013" w:type="dxa"/>
          </w:tcPr>
          <w:p w:rsidR="008045CB" w:rsidRPr="00A23F1C" w:rsidRDefault="008045CB" w:rsidP="00521ED0">
            <w:pPr>
              <w:spacing w:before="120"/>
              <w:jc w:val="center"/>
              <w:rPr>
                <w:color w:val="000000"/>
                <w:sz w:val="20"/>
                <w:szCs w:val="20"/>
              </w:rPr>
            </w:pPr>
            <w:r w:rsidRPr="00A23F1C">
              <w:rPr>
                <w:iCs/>
                <w:color w:val="000000"/>
                <w:sz w:val="20"/>
                <w:szCs w:val="20"/>
              </w:rPr>
              <w:t>ABSTRACT</w:t>
            </w:r>
          </w:p>
        </w:tc>
      </w:tr>
      <w:tr w:rsidR="008045CB" w:rsidRPr="000268F0" w:rsidTr="00A23F1C">
        <w:trPr>
          <w:cnfStyle w:val="000000100000" w:firstRow="0" w:lastRow="0" w:firstColumn="0" w:lastColumn="0" w:oddVBand="0" w:evenVBand="0" w:oddHBand="1" w:evenHBand="0" w:firstRowFirstColumn="0" w:firstRowLastColumn="0" w:lastRowFirstColumn="0" w:lastRowLastColumn="0"/>
          <w:trHeight w:val="1268"/>
        </w:trPr>
        <w:tc>
          <w:tcPr>
            <w:cnfStyle w:val="001000000000" w:firstRow="0" w:lastRow="0" w:firstColumn="1" w:lastColumn="0" w:oddVBand="0" w:evenVBand="0" w:oddHBand="0" w:evenHBand="0" w:firstRowFirstColumn="0" w:firstRowLastColumn="0" w:lastRowFirstColumn="0" w:lastRowLastColumn="0"/>
            <w:tcW w:w="9013" w:type="dxa"/>
            <w:vMerge w:val="restart"/>
          </w:tcPr>
          <w:p w:rsidR="003B2523" w:rsidRDefault="003B2523" w:rsidP="003B2523">
            <w:pPr>
              <w:pStyle w:val="NoSpacing"/>
              <w:rPr>
                <w:b w:val="0"/>
                <w:i/>
                <w:sz w:val="20"/>
              </w:rPr>
            </w:pPr>
          </w:p>
          <w:p w:rsidR="003B2523" w:rsidRDefault="003B2523" w:rsidP="003B2523">
            <w:pPr>
              <w:pStyle w:val="NoSpacing"/>
              <w:jc w:val="both"/>
              <w:rPr>
                <w:b w:val="0"/>
                <w:i/>
                <w:sz w:val="20"/>
              </w:rPr>
            </w:pPr>
            <w:r>
              <w:rPr>
                <w:b w:val="0"/>
                <w:i/>
                <w:sz w:val="20"/>
              </w:rPr>
              <w:t xml:space="preserve">             </w:t>
            </w:r>
            <w:r w:rsidR="00EF2F85" w:rsidRPr="003B2523">
              <w:rPr>
                <w:b w:val="0"/>
                <w:i/>
                <w:sz w:val="20"/>
              </w:rPr>
              <w:t xml:space="preserve">This study investigates the effectiveness of a one-dimensional Convolutional Neural Network (1D-CNN) model in forecasting stock prices of selected companies listed on the Bombay Stock Exchange (BSE). Due to the highly volatile and non-linear nature of financial time series, traditional models like ARIMA often fail to capture hidden patterns. </w:t>
            </w:r>
          </w:p>
          <w:p w:rsidR="003B2523" w:rsidRDefault="003B2523" w:rsidP="003B2523">
            <w:pPr>
              <w:pStyle w:val="NoSpacing"/>
              <w:jc w:val="both"/>
              <w:rPr>
                <w:b w:val="0"/>
                <w:i/>
                <w:sz w:val="20"/>
              </w:rPr>
            </w:pPr>
            <w:r>
              <w:rPr>
                <w:b w:val="0"/>
                <w:i/>
                <w:sz w:val="20"/>
              </w:rPr>
              <w:t xml:space="preserve">          </w:t>
            </w:r>
            <w:r w:rsidR="00EF2F85" w:rsidRPr="003B2523">
              <w:rPr>
                <w:b w:val="0"/>
                <w:i/>
                <w:sz w:val="20"/>
              </w:rPr>
              <w:t>To address this challenge, this research employs a CNN model trained on historical stock data (2015–2023) from five prominent Indian companies: SBI, Reliance, TCS, Infosys, and HDFC Bank.</w:t>
            </w:r>
            <w:r>
              <w:rPr>
                <w:b w:val="0"/>
                <w:i/>
                <w:sz w:val="20"/>
              </w:rPr>
              <w:t xml:space="preserve"> </w:t>
            </w:r>
            <w:r w:rsidR="00EF2F85" w:rsidRPr="003B2523">
              <w:rPr>
                <w:b w:val="0"/>
                <w:i/>
                <w:sz w:val="20"/>
              </w:rPr>
              <w:t xml:space="preserve">The data </w:t>
            </w:r>
            <w:r w:rsidRPr="003B2523">
              <w:rPr>
                <w:b w:val="0"/>
                <w:i/>
                <w:sz w:val="20"/>
              </w:rPr>
              <w:t>pre-processing</w:t>
            </w:r>
            <w:r w:rsidR="00EF2F85" w:rsidRPr="003B2523">
              <w:rPr>
                <w:b w:val="0"/>
                <w:i/>
                <w:sz w:val="20"/>
              </w:rPr>
              <w:t xml:space="preserve"> included handling missing values, applying Min-Max normalization, and using a sliding window of 60 days to predict the next day's closing price. The CNN model, structured with convolutional and pooling layers followed by a dense network, was trained and validated using 80/20 data splits. Model performance was evaluated using MAE, MSE, RMSE, and MAPE.</w:t>
            </w:r>
            <w:r>
              <w:rPr>
                <w:b w:val="0"/>
                <w:i/>
                <w:sz w:val="20"/>
              </w:rPr>
              <w:t xml:space="preserve"> </w:t>
            </w:r>
          </w:p>
          <w:p w:rsidR="00EF2F85" w:rsidRDefault="003B2523" w:rsidP="003B2523">
            <w:pPr>
              <w:pStyle w:val="NoSpacing"/>
              <w:jc w:val="both"/>
              <w:rPr>
                <w:b w:val="0"/>
                <w:i/>
                <w:sz w:val="20"/>
              </w:rPr>
            </w:pPr>
            <w:r>
              <w:rPr>
                <w:b w:val="0"/>
                <w:i/>
                <w:sz w:val="20"/>
              </w:rPr>
              <w:t xml:space="preserve">          </w:t>
            </w:r>
            <w:r w:rsidR="00EF2F85" w:rsidRPr="003B2523">
              <w:rPr>
                <w:b w:val="0"/>
                <w:i/>
                <w:sz w:val="20"/>
              </w:rPr>
              <w:t>Results revealed that the CNN model achieved MAPE values between 1.5% and 4.2%, demonstrating high accuracy. Compared to ARIMA and LSTM models, CNN provided competitive predictive performance with faster training time. Visual comparisons and performance metrics confirmed the model's ability to capture both upward and downward market trends effectively.</w:t>
            </w:r>
            <w:r>
              <w:rPr>
                <w:b w:val="0"/>
                <w:i/>
                <w:sz w:val="20"/>
              </w:rPr>
              <w:t xml:space="preserve"> </w:t>
            </w:r>
            <w:r w:rsidR="00EF2F85" w:rsidRPr="003B2523">
              <w:rPr>
                <w:b w:val="0"/>
                <w:i/>
                <w:sz w:val="20"/>
              </w:rPr>
              <w:t>This research contributes to the growing field of deep learning in financial forecasting and supports the utility of CNNs in modeling complex time-series data.</w:t>
            </w:r>
          </w:p>
          <w:p w:rsidR="003B2523" w:rsidRPr="003B2523" w:rsidRDefault="003B2523" w:rsidP="003B2523">
            <w:pPr>
              <w:pStyle w:val="NoSpacing"/>
              <w:jc w:val="both"/>
              <w:rPr>
                <w:b w:val="0"/>
                <w:i/>
                <w:sz w:val="20"/>
              </w:rPr>
            </w:pPr>
          </w:p>
          <w:p w:rsidR="003B2523" w:rsidRPr="003B2523" w:rsidRDefault="008045CB" w:rsidP="003B2523">
            <w:pPr>
              <w:jc w:val="both"/>
              <w:rPr>
                <w:b w:val="0"/>
                <w:i/>
                <w:iCs/>
                <w:sz w:val="20"/>
                <w:szCs w:val="20"/>
                <w:lang w:val="en-US"/>
              </w:rPr>
            </w:pPr>
            <w:r w:rsidRPr="00A23F1C">
              <w:rPr>
                <w:b w:val="0"/>
                <w:bCs w:val="0"/>
                <w:i/>
                <w:sz w:val="20"/>
                <w:szCs w:val="20"/>
                <w:lang w:val="en-US"/>
              </w:rPr>
              <w:t xml:space="preserve">Keyword: </w:t>
            </w:r>
            <w:r w:rsidR="003B2523" w:rsidRPr="003B2523">
              <w:rPr>
                <w:b w:val="0"/>
                <w:i/>
                <w:iCs/>
                <w:sz w:val="20"/>
                <w:szCs w:val="20"/>
                <w:lang w:val="en-US"/>
              </w:rPr>
              <w:t>Stock Price Prediction</w:t>
            </w:r>
            <w:r w:rsidR="003B2523">
              <w:rPr>
                <w:b w:val="0"/>
                <w:i/>
                <w:iCs/>
                <w:sz w:val="20"/>
                <w:szCs w:val="20"/>
                <w:lang w:val="en-US"/>
              </w:rPr>
              <w:t>;</w:t>
            </w:r>
            <w:r w:rsidR="003B2523" w:rsidRPr="003B2523">
              <w:rPr>
                <w:b w:val="0"/>
                <w:i/>
                <w:iCs/>
                <w:sz w:val="20"/>
                <w:szCs w:val="20"/>
                <w:lang w:val="en-US"/>
              </w:rPr>
              <w:t xml:space="preserve"> Convolutional Neural Network (CNN)</w:t>
            </w:r>
            <w:r w:rsidR="003B2523">
              <w:rPr>
                <w:b w:val="0"/>
                <w:i/>
                <w:iCs/>
                <w:sz w:val="20"/>
                <w:szCs w:val="20"/>
                <w:lang w:val="en-US"/>
              </w:rPr>
              <w:t>;</w:t>
            </w:r>
            <w:r w:rsidR="003B2523" w:rsidRPr="003B2523">
              <w:rPr>
                <w:b w:val="0"/>
                <w:i/>
                <w:iCs/>
                <w:sz w:val="20"/>
                <w:szCs w:val="20"/>
                <w:lang w:val="en-US"/>
              </w:rPr>
              <w:t xml:space="preserve"> Time Series Forecasting</w:t>
            </w:r>
            <w:r w:rsidR="003B2523">
              <w:rPr>
                <w:b w:val="0"/>
                <w:i/>
                <w:iCs/>
                <w:sz w:val="20"/>
                <w:szCs w:val="20"/>
                <w:lang w:val="en-US"/>
              </w:rPr>
              <w:t>;</w:t>
            </w:r>
            <w:r w:rsidR="003B2523" w:rsidRPr="003B2523">
              <w:rPr>
                <w:b w:val="0"/>
                <w:i/>
                <w:iCs/>
                <w:sz w:val="20"/>
                <w:szCs w:val="20"/>
                <w:lang w:val="en-US"/>
              </w:rPr>
              <w:t xml:space="preserve">  Financial Markets</w:t>
            </w:r>
            <w:r w:rsidR="003B2523">
              <w:rPr>
                <w:b w:val="0"/>
                <w:i/>
                <w:iCs/>
                <w:sz w:val="20"/>
                <w:szCs w:val="20"/>
                <w:lang w:val="en-US"/>
              </w:rPr>
              <w:t xml:space="preserve">; </w:t>
            </w:r>
            <w:r w:rsidR="003B2523" w:rsidRPr="003B2523">
              <w:rPr>
                <w:b w:val="0"/>
                <w:i/>
                <w:iCs/>
                <w:sz w:val="20"/>
                <w:szCs w:val="20"/>
                <w:lang w:val="en-US"/>
              </w:rPr>
              <w:t xml:space="preserve"> Deep Learning Models</w:t>
            </w:r>
          </w:p>
          <w:p w:rsidR="008045CB" w:rsidRPr="00A23F1C" w:rsidRDefault="008045CB" w:rsidP="008045CB">
            <w:pPr>
              <w:jc w:val="both"/>
              <w:rPr>
                <w:b w:val="0"/>
                <w:bCs w:val="0"/>
                <w:sz w:val="20"/>
                <w:szCs w:val="20"/>
              </w:rPr>
            </w:pPr>
          </w:p>
        </w:tc>
      </w:tr>
      <w:tr w:rsidR="008045CB" w:rsidRPr="000268F0" w:rsidTr="00A23F1C">
        <w:trPr>
          <w:trHeight w:val="644"/>
        </w:trPr>
        <w:tc>
          <w:tcPr>
            <w:cnfStyle w:val="001000000000" w:firstRow="0" w:lastRow="0" w:firstColumn="1" w:lastColumn="0" w:oddVBand="0" w:evenVBand="0" w:oddHBand="0" w:evenHBand="0" w:firstRowFirstColumn="0" w:firstRowLastColumn="0" w:lastRowFirstColumn="0" w:lastRowLastColumn="0"/>
            <w:tcW w:w="9013" w:type="dxa"/>
            <w:vMerge/>
          </w:tcPr>
          <w:p w:rsidR="008045CB" w:rsidRPr="00A23F1C" w:rsidRDefault="008045CB" w:rsidP="00E03F00">
            <w:pPr>
              <w:spacing w:before="120"/>
              <w:jc w:val="both"/>
              <w:rPr>
                <w:b w:val="0"/>
                <w:bCs w:val="0"/>
                <w:iCs/>
                <w:color w:val="000000"/>
                <w:sz w:val="20"/>
                <w:szCs w:val="20"/>
              </w:rPr>
            </w:pPr>
          </w:p>
        </w:tc>
      </w:tr>
      <w:tr w:rsidR="008045CB" w:rsidRPr="000268F0" w:rsidTr="00A23F1C">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013" w:type="dxa"/>
          </w:tcPr>
          <w:p w:rsidR="008045CB" w:rsidRPr="00A23F1C" w:rsidRDefault="008045CB" w:rsidP="000D5B9A">
            <w:pPr>
              <w:jc w:val="center"/>
              <w:rPr>
                <w:sz w:val="20"/>
                <w:szCs w:val="20"/>
              </w:rPr>
            </w:pPr>
            <w:r w:rsidRPr="00A23F1C">
              <w:rPr>
                <w:sz w:val="20"/>
                <w:szCs w:val="20"/>
              </w:rPr>
              <w:t>Article History:</w:t>
            </w:r>
          </w:p>
          <w:p w:rsidR="008045CB" w:rsidRPr="00A23F1C" w:rsidRDefault="008045CB" w:rsidP="000D5B9A">
            <w:pPr>
              <w:jc w:val="center"/>
              <w:rPr>
                <w:b w:val="0"/>
                <w:bCs w:val="0"/>
                <w:sz w:val="20"/>
                <w:szCs w:val="20"/>
              </w:rPr>
            </w:pPr>
            <w:r w:rsidRPr="00A23F1C">
              <w:rPr>
                <w:b w:val="0"/>
                <w:bCs w:val="0"/>
                <w:sz w:val="20"/>
                <w:szCs w:val="20"/>
              </w:rPr>
              <w:t>Received, D-M-20XX; Revised, D-M-20XX; Accepted, D-M-20XX.</w:t>
            </w:r>
          </w:p>
        </w:tc>
      </w:tr>
    </w:tbl>
    <w:p w:rsidR="00F66CC2" w:rsidRPr="000268F0" w:rsidRDefault="00F66CC2" w:rsidP="00F66CC2">
      <w:pPr>
        <w:pStyle w:val="PARAGRAPHnoindent"/>
        <w:spacing w:line="240" w:lineRule="auto"/>
        <w:jc w:val="center"/>
        <w:rPr>
          <w:rFonts w:ascii="Times New Roman" w:hAnsi="Times New Roman"/>
          <w:color w:val="000000"/>
          <w:sz w:val="14"/>
          <w:szCs w:val="14"/>
        </w:rPr>
      </w:pPr>
    </w:p>
    <w:p w:rsidR="00B3521D" w:rsidRPr="000268F0" w:rsidRDefault="00B3521D" w:rsidP="00B3521D">
      <w:pPr>
        <w:rPr>
          <w:sz w:val="14"/>
          <w:lang w:val="en-US" w:eastAsia="en-US"/>
        </w:rPr>
      </w:pPr>
    </w:p>
    <w:p w:rsidR="00580E6E" w:rsidRDefault="00580E6E" w:rsidP="00AD1A12">
      <w:pPr>
        <w:pStyle w:val="IEEEParagraph"/>
        <w:spacing w:line="23" w:lineRule="atLeast"/>
        <w:ind w:firstLine="0"/>
        <w:jc w:val="center"/>
        <w:rPr>
          <w:rStyle w:val="longtext"/>
          <w:shd w:val="clear" w:color="auto" w:fill="FFFFFF"/>
        </w:rPr>
      </w:pPr>
      <w:r>
        <w:rPr>
          <w:b/>
          <w:bCs/>
          <w:sz w:val="28"/>
          <w:szCs w:val="28"/>
        </w:rPr>
        <w:t xml:space="preserve">1. </w:t>
      </w:r>
      <w:r w:rsidRPr="00AE7651">
        <w:rPr>
          <w:b/>
          <w:bCs/>
          <w:sz w:val="28"/>
          <w:szCs w:val="28"/>
        </w:rPr>
        <w:t xml:space="preserve">Introduction </w:t>
      </w:r>
    </w:p>
    <w:p w:rsidR="00F728F5" w:rsidRPr="00F728F5" w:rsidRDefault="00F728F5" w:rsidP="00F728F5">
      <w:pPr>
        <w:pStyle w:val="IEEEParagraph"/>
        <w:spacing w:line="276" w:lineRule="auto"/>
        <w:ind w:firstLine="567"/>
        <w:rPr>
          <w:shd w:val="clear" w:color="auto" w:fill="FFFFFF"/>
          <w:lang w:val="en-US"/>
        </w:rPr>
      </w:pPr>
      <w:r w:rsidRPr="00F728F5">
        <w:rPr>
          <w:shd w:val="clear" w:color="auto" w:fill="FFFFFF"/>
          <w:lang w:val="en-US"/>
        </w:rPr>
        <w:t>Forecasting stock market trends has always posed a significant challenge for economists, investors, and researchers due to the market's highly volatile, non-linear, and dynamic nature. The performance of the stock market is influenced by a multitude of factors including economic indicators, political events, investor sentiments, and global financial developments. Traditional models, such as statistical regression or time-series models like ARIMA, often struggle to capture the complex and non-linear dependencies inherent in financial data.</w:t>
      </w:r>
    </w:p>
    <w:p w:rsidR="00F728F5" w:rsidRPr="00F728F5" w:rsidRDefault="00F728F5" w:rsidP="00F728F5">
      <w:pPr>
        <w:pStyle w:val="IEEEParagraph"/>
        <w:spacing w:line="276" w:lineRule="auto"/>
        <w:ind w:firstLine="567"/>
        <w:rPr>
          <w:shd w:val="clear" w:color="auto" w:fill="FFFFFF"/>
          <w:lang w:val="en-US"/>
        </w:rPr>
      </w:pPr>
      <w:r w:rsidRPr="00F728F5">
        <w:rPr>
          <w:shd w:val="clear" w:color="auto" w:fill="FFFFFF"/>
          <w:lang w:val="en-US"/>
        </w:rPr>
        <w:t>With the advent of artificial intelligence and machine learning, deep learning models have emerged as powerful tools for modeling such complexities. In particular, Convolutional Neural Networks (CNNs), originally designed for image processing tasks, have recently shown promising results in time-series forecasting, including stock price prediction. CNNs are capable of capturing local and temporal dependencies through convolutional filters, which can help identify important patterns in sequential data (Borovykh et al., 2017).</w:t>
      </w:r>
    </w:p>
    <w:p w:rsidR="00F728F5" w:rsidRDefault="00F728F5" w:rsidP="00F728F5">
      <w:pPr>
        <w:pStyle w:val="IEEEParagraph"/>
        <w:spacing w:line="276" w:lineRule="auto"/>
        <w:ind w:firstLine="567"/>
        <w:rPr>
          <w:shd w:val="clear" w:color="auto" w:fill="FFFFFF"/>
          <w:lang w:val="en-US"/>
        </w:rPr>
      </w:pPr>
      <w:r w:rsidRPr="00F728F5">
        <w:rPr>
          <w:shd w:val="clear" w:color="auto" w:fill="FFFFFF"/>
          <w:lang w:val="en-US"/>
        </w:rPr>
        <w:t xml:space="preserve">The Bombay Stock Exchange (BSE), one of Asia's oldest stock exchanges, serves as a critical component of the Indian financial system. Accurate forecasting of stock prices listed </w:t>
      </w:r>
      <w:r w:rsidRPr="00F728F5">
        <w:rPr>
          <w:shd w:val="clear" w:color="auto" w:fill="FFFFFF"/>
          <w:lang w:val="en-US"/>
        </w:rPr>
        <w:lastRenderedPageBreak/>
        <w:t>on BSE can assist investors in making informed decisions, enhancing portfolio management, and minimizing risks. This study aims to investigate the applicability and effectiveness of a CNN-based deep learning model to predict stock prices of select companies listed on the BSE.</w:t>
      </w:r>
    </w:p>
    <w:p w:rsidR="00F728F5" w:rsidRDefault="00F728F5" w:rsidP="00AD1A12">
      <w:pPr>
        <w:pStyle w:val="IEEEParagraph"/>
        <w:spacing w:line="276" w:lineRule="auto"/>
        <w:ind w:firstLine="0"/>
        <w:jc w:val="center"/>
        <w:rPr>
          <w:b/>
          <w:sz w:val="28"/>
          <w:szCs w:val="28"/>
        </w:rPr>
      </w:pPr>
    </w:p>
    <w:p w:rsidR="00580E6E" w:rsidRDefault="00580E6E" w:rsidP="00AD1A12">
      <w:pPr>
        <w:pStyle w:val="IEEEParagraph"/>
        <w:spacing w:line="276" w:lineRule="auto"/>
        <w:ind w:firstLine="0"/>
        <w:jc w:val="center"/>
        <w:rPr>
          <w:b/>
          <w:sz w:val="28"/>
          <w:szCs w:val="28"/>
        </w:rPr>
      </w:pPr>
      <w:r>
        <w:rPr>
          <w:b/>
          <w:sz w:val="28"/>
          <w:szCs w:val="28"/>
        </w:rPr>
        <w:t xml:space="preserve">2. </w:t>
      </w:r>
      <w:r w:rsidRPr="00AE7651">
        <w:rPr>
          <w:b/>
          <w:sz w:val="28"/>
          <w:szCs w:val="28"/>
        </w:rPr>
        <w:t xml:space="preserve">Method </w:t>
      </w:r>
    </w:p>
    <w:p w:rsidR="00C463AB" w:rsidRDefault="004B4E9E" w:rsidP="004B4E9E">
      <w:pPr>
        <w:pStyle w:val="IEEEParagraph"/>
        <w:spacing w:line="276" w:lineRule="auto"/>
        <w:ind w:firstLine="0"/>
        <w:jc w:val="left"/>
        <w:rPr>
          <w:shd w:val="clear" w:color="auto" w:fill="FFFFFF"/>
          <w:lang w:val="en-US"/>
        </w:rPr>
      </w:pPr>
      <w:r w:rsidRPr="004B4E9E">
        <w:rPr>
          <w:shd w:val="clear" w:color="auto" w:fill="FFFFFF"/>
          <w:lang w:val="en-US"/>
        </w:rPr>
        <w:t xml:space="preserve">The </w:t>
      </w:r>
      <w:r>
        <w:rPr>
          <w:shd w:val="clear" w:color="auto" w:fill="FFFFFF"/>
          <w:lang w:val="en-US"/>
        </w:rPr>
        <w:t xml:space="preserve">methodology adopted for the present study consists of historical data of selected stocks on BSE, </w:t>
      </w:r>
      <w:r w:rsidR="00C463AB">
        <w:rPr>
          <w:shd w:val="clear" w:color="auto" w:fill="FFFFFF"/>
          <w:lang w:val="en-US"/>
        </w:rPr>
        <w:t xml:space="preserve">Convolutional Neural Network (CNN) </w:t>
      </w:r>
      <w:r>
        <w:rPr>
          <w:shd w:val="clear" w:color="auto" w:fill="FFFFFF"/>
          <w:lang w:val="en-US"/>
        </w:rPr>
        <w:t xml:space="preserve">model and </w:t>
      </w:r>
      <w:r w:rsidR="00C463AB">
        <w:rPr>
          <w:shd w:val="clear" w:color="auto" w:fill="FFFFFF"/>
          <w:lang w:val="en-US"/>
        </w:rPr>
        <w:t xml:space="preserve">its </w:t>
      </w:r>
      <w:r>
        <w:rPr>
          <w:shd w:val="clear" w:color="auto" w:fill="FFFFFF"/>
          <w:lang w:val="en-US"/>
        </w:rPr>
        <w:t>evaluation metrics</w:t>
      </w:r>
      <w:r w:rsidR="00C463AB">
        <w:rPr>
          <w:shd w:val="clear" w:color="auto" w:fill="FFFFFF"/>
          <w:lang w:val="en-US"/>
        </w:rPr>
        <w:t xml:space="preserve">. </w:t>
      </w:r>
    </w:p>
    <w:p w:rsidR="00F728F5" w:rsidRPr="00F728F5" w:rsidRDefault="00F728F5" w:rsidP="004B4E9E">
      <w:pPr>
        <w:pStyle w:val="IEEEParagraph"/>
        <w:spacing w:line="276" w:lineRule="auto"/>
        <w:ind w:firstLine="0"/>
        <w:jc w:val="left"/>
        <w:rPr>
          <w:shd w:val="clear" w:color="auto" w:fill="FFFFFF"/>
          <w:lang w:val="en-US"/>
        </w:rPr>
      </w:pPr>
      <w:r w:rsidRPr="00F728F5">
        <w:rPr>
          <w:b/>
          <w:bCs/>
          <w:shd w:val="clear" w:color="auto" w:fill="FFFFFF"/>
          <w:lang w:val="en-US"/>
        </w:rPr>
        <w:t>2.1 Data Description and Preprocessing</w:t>
      </w:r>
    </w:p>
    <w:p w:rsidR="00C463AB" w:rsidRDefault="00F728F5" w:rsidP="00F728F5">
      <w:pPr>
        <w:pStyle w:val="IEEEParagraph"/>
        <w:spacing w:line="276" w:lineRule="auto"/>
        <w:ind w:firstLine="567"/>
        <w:rPr>
          <w:shd w:val="clear" w:color="auto" w:fill="FFFFFF"/>
          <w:lang w:val="en-US"/>
        </w:rPr>
      </w:pPr>
      <w:r w:rsidRPr="00F728F5">
        <w:rPr>
          <w:shd w:val="clear" w:color="auto" w:fill="FFFFFF"/>
          <w:lang w:val="en-US"/>
        </w:rPr>
        <w:t xml:space="preserve">Historical daily stock prices of five prominent BSE-listed companies—State Bank of India (SBI), Reliance Industries, Tata Consultancy Services (TCS), Infosys, and HDFC Bank—were collected from </w:t>
      </w:r>
      <w:r w:rsidR="00C463AB">
        <w:rPr>
          <w:shd w:val="clear" w:color="auto" w:fill="FFFFFF"/>
          <w:lang w:val="en-US"/>
        </w:rPr>
        <w:t xml:space="preserve">the BSE website (alternatively is can be collected from </w:t>
      </w:r>
      <w:r w:rsidRPr="00F728F5">
        <w:rPr>
          <w:shd w:val="clear" w:color="auto" w:fill="FFFFFF"/>
          <w:lang w:val="en-US"/>
        </w:rPr>
        <w:t>Yahoo Finance</w:t>
      </w:r>
      <w:r w:rsidR="00C463AB">
        <w:rPr>
          <w:shd w:val="clear" w:color="auto" w:fill="FFFFFF"/>
          <w:lang w:val="en-US"/>
        </w:rPr>
        <w:t>)</w:t>
      </w:r>
      <w:r w:rsidRPr="00F728F5">
        <w:rPr>
          <w:shd w:val="clear" w:color="auto" w:fill="FFFFFF"/>
          <w:lang w:val="en-US"/>
        </w:rPr>
        <w:t>. The time frame spans from January 2015 to December 2023, offering a robust dataset for training and evaluation.</w:t>
      </w:r>
      <w:r w:rsidR="00C463AB">
        <w:rPr>
          <w:shd w:val="clear" w:color="auto" w:fill="FFFFFF"/>
          <w:lang w:val="en-US"/>
        </w:rPr>
        <w:t xml:space="preserve"> </w:t>
      </w:r>
      <w:r w:rsidRPr="00F728F5">
        <w:rPr>
          <w:shd w:val="clear" w:color="auto" w:fill="FFFFFF"/>
          <w:lang w:val="en-US"/>
        </w:rPr>
        <w:t xml:space="preserve">Each dataset includes features such as Open, High, Low, Close, Adjusted Close, and Volume. </w:t>
      </w:r>
    </w:p>
    <w:p w:rsidR="00F728F5" w:rsidRPr="00F728F5" w:rsidRDefault="00F728F5" w:rsidP="00C463AB">
      <w:pPr>
        <w:pStyle w:val="IEEEParagraph"/>
        <w:spacing w:line="276" w:lineRule="auto"/>
        <w:ind w:firstLine="0"/>
        <w:rPr>
          <w:shd w:val="clear" w:color="auto" w:fill="FFFFFF"/>
          <w:lang w:val="en-US"/>
        </w:rPr>
      </w:pPr>
      <w:r w:rsidRPr="00F728F5">
        <w:rPr>
          <w:shd w:val="clear" w:color="auto" w:fill="FFFFFF"/>
          <w:lang w:val="en-US"/>
        </w:rPr>
        <w:t>Preprocessing steps involved:</w:t>
      </w:r>
    </w:p>
    <w:p w:rsidR="00F728F5" w:rsidRPr="00F728F5" w:rsidRDefault="00F728F5" w:rsidP="00F728F5">
      <w:pPr>
        <w:pStyle w:val="IEEEParagraph"/>
        <w:numPr>
          <w:ilvl w:val="0"/>
          <w:numId w:val="15"/>
        </w:numPr>
        <w:spacing w:line="276" w:lineRule="auto"/>
        <w:rPr>
          <w:shd w:val="clear" w:color="auto" w:fill="FFFFFF"/>
          <w:lang w:val="en-US"/>
        </w:rPr>
      </w:pPr>
      <w:r w:rsidRPr="00F728F5">
        <w:rPr>
          <w:b/>
          <w:bCs/>
          <w:shd w:val="clear" w:color="auto" w:fill="FFFFFF"/>
          <w:lang w:val="en-US"/>
        </w:rPr>
        <w:t>Handling missing values</w:t>
      </w:r>
      <w:r w:rsidRPr="00F728F5">
        <w:rPr>
          <w:shd w:val="clear" w:color="auto" w:fill="FFFFFF"/>
          <w:lang w:val="en-US"/>
        </w:rPr>
        <w:t xml:space="preserve"> using forward-fill and linear interpolation techniques.</w:t>
      </w:r>
    </w:p>
    <w:p w:rsidR="00F728F5" w:rsidRPr="00F728F5" w:rsidRDefault="00F728F5" w:rsidP="00F728F5">
      <w:pPr>
        <w:pStyle w:val="IEEEParagraph"/>
        <w:numPr>
          <w:ilvl w:val="0"/>
          <w:numId w:val="15"/>
        </w:numPr>
        <w:spacing w:line="276" w:lineRule="auto"/>
        <w:rPr>
          <w:shd w:val="clear" w:color="auto" w:fill="FFFFFF"/>
          <w:lang w:val="en-US"/>
        </w:rPr>
      </w:pPr>
      <w:r w:rsidRPr="00F728F5">
        <w:rPr>
          <w:b/>
          <w:bCs/>
          <w:shd w:val="clear" w:color="auto" w:fill="FFFFFF"/>
          <w:lang w:val="en-US"/>
        </w:rPr>
        <w:t>Normalization</w:t>
      </w:r>
      <w:r w:rsidRPr="00F728F5">
        <w:rPr>
          <w:shd w:val="clear" w:color="auto" w:fill="FFFFFF"/>
          <w:lang w:val="en-US"/>
        </w:rPr>
        <w:t xml:space="preserve"> of features using Min-Max scaling to [0,</w:t>
      </w:r>
      <w:r w:rsidR="004B4E9E">
        <w:rPr>
          <w:shd w:val="clear" w:color="auto" w:fill="FFFFFF"/>
          <w:lang w:val="en-US"/>
        </w:rPr>
        <w:t xml:space="preserve"> </w:t>
      </w:r>
      <w:r w:rsidRPr="00F728F5">
        <w:rPr>
          <w:shd w:val="clear" w:color="auto" w:fill="FFFFFF"/>
          <w:lang w:val="en-US"/>
        </w:rPr>
        <w:t>1] to ensure better model convergence.</w:t>
      </w:r>
    </w:p>
    <w:p w:rsidR="00C463AB" w:rsidRDefault="00F728F5" w:rsidP="00C463AB">
      <w:pPr>
        <w:pStyle w:val="IEEEParagraph"/>
        <w:numPr>
          <w:ilvl w:val="0"/>
          <w:numId w:val="15"/>
        </w:numPr>
        <w:spacing w:line="276" w:lineRule="auto"/>
        <w:rPr>
          <w:shd w:val="clear" w:color="auto" w:fill="FFFFFF"/>
          <w:lang w:val="en-US"/>
        </w:rPr>
      </w:pPr>
      <w:r w:rsidRPr="00F728F5">
        <w:rPr>
          <w:b/>
          <w:bCs/>
          <w:shd w:val="clear" w:color="auto" w:fill="FFFFFF"/>
          <w:lang w:val="en-US"/>
        </w:rPr>
        <w:t>Sliding window technique</w:t>
      </w:r>
      <w:r w:rsidRPr="00F728F5">
        <w:rPr>
          <w:shd w:val="clear" w:color="auto" w:fill="FFFFFF"/>
          <w:lang w:val="en-US"/>
        </w:rPr>
        <w:t>: For each sample, a sequence of the previous 60 days' closing prices was used to predict the 61st day’s closing price.</w:t>
      </w:r>
    </w:p>
    <w:p w:rsidR="00F728F5" w:rsidRPr="00C463AB" w:rsidRDefault="00F728F5" w:rsidP="00C463AB">
      <w:pPr>
        <w:pStyle w:val="IEEEParagraph"/>
        <w:spacing w:line="276" w:lineRule="auto"/>
        <w:ind w:firstLine="0"/>
        <w:rPr>
          <w:shd w:val="clear" w:color="auto" w:fill="FFFFFF"/>
          <w:lang w:val="en-US"/>
        </w:rPr>
      </w:pPr>
      <w:r w:rsidRPr="00C463AB">
        <w:rPr>
          <w:shd w:val="clear" w:color="auto" w:fill="FFFFFF"/>
          <w:lang w:val="en-US"/>
        </w:rPr>
        <w:t>The dataset was split into 80% training and 20% testing sets to evaluate model generalizability.</w:t>
      </w:r>
    </w:p>
    <w:p w:rsidR="00F728F5" w:rsidRPr="00F728F5" w:rsidRDefault="00F728F5" w:rsidP="004B4E9E">
      <w:pPr>
        <w:pStyle w:val="IEEEParagraph"/>
        <w:spacing w:line="276" w:lineRule="auto"/>
        <w:ind w:firstLine="0"/>
        <w:rPr>
          <w:shd w:val="clear" w:color="auto" w:fill="FFFFFF"/>
          <w:lang w:val="en-US"/>
        </w:rPr>
      </w:pPr>
      <w:r w:rsidRPr="00F728F5">
        <w:rPr>
          <w:b/>
          <w:bCs/>
          <w:shd w:val="clear" w:color="auto" w:fill="FFFFFF"/>
          <w:lang w:val="en-US"/>
        </w:rPr>
        <w:t>2.2 Model Architecture</w:t>
      </w:r>
    </w:p>
    <w:p w:rsidR="00F728F5" w:rsidRPr="00F728F5" w:rsidRDefault="00F728F5" w:rsidP="00C463AB">
      <w:pPr>
        <w:pStyle w:val="IEEEParagraph"/>
        <w:spacing w:line="276" w:lineRule="auto"/>
        <w:ind w:firstLine="360"/>
        <w:rPr>
          <w:shd w:val="clear" w:color="auto" w:fill="FFFFFF"/>
          <w:lang w:val="en-US"/>
        </w:rPr>
      </w:pPr>
      <w:r w:rsidRPr="00F728F5">
        <w:rPr>
          <w:shd w:val="clear" w:color="auto" w:fill="FFFFFF"/>
          <w:lang w:val="en-US"/>
        </w:rPr>
        <w:t>A 1D Convolutional Neural Network was designed with the following architecture:</w:t>
      </w:r>
    </w:p>
    <w:p w:rsidR="00F728F5" w:rsidRPr="00F728F5" w:rsidRDefault="00F728F5" w:rsidP="00C463AB">
      <w:pPr>
        <w:pStyle w:val="IEEEParagraph"/>
        <w:numPr>
          <w:ilvl w:val="0"/>
          <w:numId w:val="19"/>
        </w:numPr>
        <w:tabs>
          <w:tab w:val="clear" w:pos="720"/>
          <w:tab w:val="num" w:pos="810"/>
        </w:tabs>
        <w:spacing w:line="276" w:lineRule="auto"/>
        <w:ind w:left="900"/>
        <w:rPr>
          <w:shd w:val="clear" w:color="auto" w:fill="FFFFFF"/>
          <w:lang w:val="en-US"/>
        </w:rPr>
      </w:pPr>
      <w:r w:rsidRPr="00F728F5">
        <w:rPr>
          <w:b/>
          <w:bCs/>
          <w:shd w:val="clear" w:color="auto" w:fill="FFFFFF"/>
          <w:lang w:val="en-US"/>
        </w:rPr>
        <w:t>Input Layer</w:t>
      </w:r>
      <w:r w:rsidRPr="00F728F5">
        <w:rPr>
          <w:shd w:val="clear" w:color="auto" w:fill="FFFFFF"/>
          <w:lang w:val="en-US"/>
        </w:rPr>
        <w:t>: Accepts input of shape (60,</w:t>
      </w:r>
      <w:r w:rsidR="00C463AB">
        <w:rPr>
          <w:shd w:val="clear" w:color="auto" w:fill="FFFFFF"/>
          <w:lang w:val="en-US"/>
        </w:rPr>
        <w:t xml:space="preserve"> </w:t>
      </w:r>
      <w:r w:rsidRPr="00F728F5">
        <w:rPr>
          <w:shd w:val="clear" w:color="auto" w:fill="FFFFFF"/>
          <w:lang w:val="en-US"/>
        </w:rPr>
        <w:t>1) representing the closing prices over the last 60 days.</w:t>
      </w:r>
    </w:p>
    <w:p w:rsidR="00F728F5" w:rsidRPr="00F728F5" w:rsidRDefault="00F728F5" w:rsidP="00C463AB">
      <w:pPr>
        <w:pStyle w:val="IEEEParagraph"/>
        <w:numPr>
          <w:ilvl w:val="0"/>
          <w:numId w:val="19"/>
        </w:numPr>
        <w:tabs>
          <w:tab w:val="num" w:pos="810"/>
        </w:tabs>
        <w:spacing w:line="276" w:lineRule="auto"/>
        <w:ind w:left="900"/>
        <w:rPr>
          <w:shd w:val="clear" w:color="auto" w:fill="FFFFFF"/>
          <w:lang w:val="en-US"/>
        </w:rPr>
      </w:pPr>
      <w:r w:rsidRPr="00F728F5">
        <w:rPr>
          <w:b/>
          <w:bCs/>
          <w:shd w:val="clear" w:color="auto" w:fill="FFFFFF"/>
          <w:lang w:val="en-US"/>
        </w:rPr>
        <w:t>Conv1D Layer</w:t>
      </w:r>
      <w:r w:rsidRPr="00F728F5">
        <w:rPr>
          <w:shd w:val="clear" w:color="auto" w:fill="FFFFFF"/>
          <w:lang w:val="en-US"/>
        </w:rPr>
        <w:t xml:space="preserve">: 64 filters with a kernel size of 3, activation </w:t>
      </w:r>
      <w:r w:rsidR="00C463AB">
        <w:rPr>
          <w:shd w:val="clear" w:color="auto" w:fill="FFFFFF"/>
          <w:lang w:val="en-US"/>
        </w:rPr>
        <w:t xml:space="preserve">function </w:t>
      </w:r>
      <w:r w:rsidRPr="00F728F5">
        <w:rPr>
          <w:shd w:val="clear" w:color="auto" w:fill="FFFFFF"/>
          <w:lang w:val="en-US"/>
        </w:rPr>
        <w:t>= ReLU</w:t>
      </w:r>
    </w:p>
    <w:p w:rsidR="00F728F5" w:rsidRPr="00F728F5" w:rsidRDefault="00F728F5" w:rsidP="00C463AB">
      <w:pPr>
        <w:pStyle w:val="IEEEParagraph"/>
        <w:numPr>
          <w:ilvl w:val="0"/>
          <w:numId w:val="19"/>
        </w:numPr>
        <w:tabs>
          <w:tab w:val="num" w:pos="810"/>
        </w:tabs>
        <w:spacing w:line="276" w:lineRule="auto"/>
        <w:ind w:left="900"/>
        <w:rPr>
          <w:shd w:val="clear" w:color="auto" w:fill="FFFFFF"/>
          <w:lang w:val="en-US"/>
        </w:rPr>
      </w:pPr>
      <w:r w:rsidRPr="00F728F5">
        <w:rPr>
          <w:b/>
          <w:bCs/>
          <w:shd w:val="clear" w:color="auto" w:fill="FFFFFF"/>
          <w:lang w:val="en-US"/>
        </w:rPr>
        <w:t>MaxPooling1D Layer</w:t>
      </w:r>
      <w:r w:rsidRPr="00F728F5">
        <w:rPr>
          <w:shd w:val="clear" w:color="auto" w:fill="FFFFFF"/>
          <w:lang w:val="en-US"/>
        </w:rPr>
        <w:t>: Pool size = 2 for down-sampling</w:t>
      </w:r>
    </w:p>
    <w:p w:rsidR="00F728F5" w:rsidRPr="00F728F5" w:rsidRDefault="00F728F5" w:rsidP="00C463AB">
      <w:pPr>
        <w:pStyle w:val="IEEEParagraph"/>
        <w:numPr>
          <w:ilvl w:val="0"/>
          <w:numId w:val="19"/>
        </w:numPr>
        <w:tabs>
          <w:tab w:val="num" w:pos="810"/>
        </w:tabs>
        <w:spacing w:line="276" w:lineRule="auto"/>
        <w:ind w:left="900"/>
        <w:rPr>
          <w:shd w:val="clear" w:color="auto" w:fill="FFFFFF"/>
          <w:lang w:val="en-US"/>
        </w:rPr>
      </w:pPr>
      <w:r w:rsidRPr="00F728F5">
        <w:rPr>
          <w:b/>
          <w:bCs/>
          <w:shd w:val="clear" w:color="auto" w:fill="FFFFFF"/>
          <w:lang w:val="en-US"/>
        </w:rPr>
        <w:t>Dropout Layer</w:t>
      </w:r>
      <w:r w:rsidRPr="00F728F5">
        <w:rPr>
          <w:shd w:val="clear" w:color="auto" w:fill="FFFFFF"/>
          <w:lang w:val="en-US"/>
        </w:rPr>
        <w:t>: 20% dropout to prevent overfitting</w:t>
      </w:r>
    </w:p>
    <w:p w:rsidR="00F728F5" w:rsidRPr="00F728F5" w:rsidRDefault="00F728F5" w:rsidP="00C463AB">
      <w:pPr>
        <w:pStyle w:val="IEEEParagraph"/>
        <w:numPr>
          <w:ilvl w:val="0"/>
          <w:numId w:val="19"/>
        </w:numPr>
        <w:tabs>
          <w:tab w:val="num" w:pos="810"/>
        </w:tabs>
        <w:spacing w:line="276" w:lineRule="auto"/>
        <w:ind w:left="900"/>
        <w:rPr>
          <w:shd w:val="clear" w:color="auto" w:fill="FFFFFF"/>
          <w:lang w:val="en-US"/>
        </w:rPr>
      </w:pPr>
      <w:r w:rsidRPr="00F728F5">
        <w:rPr>
          <w:b/>
          <w:bCs/>
          <w:shd w:val="clear" w:color="auto" w:fill="FFFFFF"/>
          <w:lang w:val="en-US"/>
        </w:rPr>
        <w:t>Flatten Layer</w:t>
      </w:r>
      <w:r w:rsidRPr="00F728F5">
        <w:rPr>
          <w:shd w:val="clear" w:color="auto" w:fill="FFFFFF"/>
          <w:lang w:val="en-US"/>
        </w:rPr>
        <w:t>: Converts the pooled feature map to a vector</w:t>
      </w:r>
    </w:p>
    <w:p w:rsidR="00F728F5" w:rsidRPr="00F728F5" w:rsidRDefault="00F728F5" w:rsidP="00C463AB">
      <w:pPr>
        <w:pStyle w:val="IEEEParagraph"/>
        <w:numPr>
          <w:ilvl w:val="0"/>
          <w:numId w:val="19"/>
        </w:numPr>
        <w:tabs>
          <w:tab w:val="num" w:pos="810"/>
        </w:tabs>
        <w:spacing w:line="276" w:lineRule="auto"/>
        <w:ind w:left="900"/>
        <w:rPr>
          <w:shd w:val="clear" w:color="auto" w:fill="FFFFFF"/>
          <w:lang w:val="en-US"/>
        </w:rPr>
      </w:pPr>
      <w:r w:rsidRPr="00F728F5">
        <w:rPr>
          <w:b/>
          <w:bCs/>
          <w:shd w:val="clear" w:color="auto" w:fill="FFFFFF"/>
          <w:lang w:val="en-US"/>
        </w:rPr>
        <w:t>Dense Layer</w:t>
      </w:r>
      <w:r w:rsidRPr="00F728F5">
        <w:rPr>
          <w:shd w:val="clear" w:color="auto" w:fill="FFFFFF"/>
          <w:lang w:val="en-US"/>
        </w:rPr>
        <w:t>: 50 neurons with ReLU activation</w:t>
      </w:r>
    </w:p>
    <w:p w:rsidR="00C463AB" w:rsidRDefault="00F728F5" w:rsidP="00C463AB">
      <w:pPr>
        <w:pStyle w:val="IEEEParagraph"/>
        <w:numPr>
          <w:ilvl w:val="0"/>
          <w:numId w:val="19"/>
        </w:numPr>
        <w:tabs>
          <w:tab w:val="num" w:pos="810"/>
        </w:tabs>
        <w:spacing w:line="276" w:lineRule="auto"/>
        <w:ind w:left="900"/>
        <w:rPr>
          <w:shd w:val="clear" w:color="auto" w:fill="FFFFFF"/>
          <w:lang w:val="en-US"/>
        </w:rPr>
      </w:pPr>
      <w:r w:rsidRPr="00F728F5">
        <w:rPr>
          <w:b/>
          <w:bCs/>
          <w:shd w:val="clear" w:color="auto" w:fill="FFFFFF"/>
          <w:lang w:val="en-US"/>
        </w:rPr>
        <w:t>Output Layer</w:t>
      </w:r>
      <w:r w:rsidRPr="00F728F5">
        <w:rPr>
          <w:shd w:val="clear" w:color="auto" w:fill="FFFFFF"/>
          <w:lang w:val="en-US"/>
        </w:rPr>
        <w:t>: Single neuron with linear activation to predict next day’s price</w:t>
      </w:r>
    </w:p>
    <w:p w:rsidR="00F728F5" w:rsidRDefault="00F728F5" w:rsidP="00C463AB">
      <w:pPr>
        <w:pStyle w:val="IEEEParagraph"/>
        <w:spacing w:line="276" w:lineRule="auto"/>
        <w:ind w:left="360" w:firstLine="0"/>
        <w:rPr>
          <w:shd w:val="clear" w:color="auto" w:fill="FFFFFF"/>
          <w:lang w:val="en-US"/>
        </w:rPr>
      </w:pPr>
      <w:r w:rsidRPr="00C463AB">
        <w:rPr>
          <w:shd w:val="clear" w:color="auto" w:fill="FFFFFF"/>
          <w:lang w:val="en-US"/>
        </w:rPr>
        <w:t>The model was compiled using the Adam optimizer and Mean Squared Error (MSE) as the loss function. Training was carried out for 100 epochs with early stopping based on validation loss.</w:t>
      </w:r>
    </w:p>
    <w:p w:rsidR="0043798F" w:rsidRDefault="0043798F" w:rsidP="00C463AB">
      <w:pPr>
        <w:pStyle w:val="IEEEParagraph"/>
        <w:spacing w:line="276" w:lineRule="auto"/>
        <w:ind w:left="360" w:firstLine="0"/>
        <w:rPr>
          <w:shd w:val="clear" w:color="auto" w:fill="FFFFFF"/>
          <w:lang w:val="en-US"/>
        </w:rPr>
      </w:pPr>
    </w:p>
    <w:p w:rsidR="00F728F5" w:rsidRPr="00F728F5" w:rsidRDefault="00F728F5" w:rsidP="00352E69">
      <w:pPr>
        <w:pStyle w:val="IEEEParagraph"/>
        <w:spacing w:line="276" w:lineRule="auto"/>
        <w:ind w:firstLine="0"/>
        <w:rPr>
          <w:shd w:val="clear" w:color="auto" w:fill="FFFFFF"/>
          <w:lang w:val="en-US"/>
        </w:rPr>
      </w:pPr>
      <w:r w:rsidRPr="00F728F5">
        <w:rPr>
          <w:b/>
          <w:bCs/>
          <w:shd w:val="clear" w:color="auto" w:fill="FFFFFF"/>
          <w:lang w:val="en-US"/>
        </w:rPr>
        <w:t>2.3 Evaluation Metrics</w:t>
      </w:r>
    </w:p>
    <w:p w:rsidR="00F728F5" w:rsidRPr="00F728F5" w:rsidRDefault="00F728F5" w:rsidP="00F728F5">
      <w:pPr>
        <w:pStyle w:val="IEEEParagraph"/>
        <w:spacing w:line="276" w:lineRule="auto"/>
        <w:ind w:firstLine="567"/>
        <w:rPr>
          <w:shd w:val="clear" w:color="auto" w:fill="FFFFFF"/>
          <w:lang w:val="en-US"/>
        </w:rPr>
      </w:pPr>
      <w:r w:rsidRPr="00F728F5">
        <w:rPr>
          <w:shd w:val="clear" w:color="auto" w:fill="FFFFFF"/>
          <w:lang w:val="en-US"/>
        </w:rPr>
        <w:t>To assess the model performance, the following metrics were used:</w:t>
      </w:r>
    </w:p>
    <w:p w:rsidR="00352E69" w:rsidRPr="00352E69" w:rsidRDefault="00352E69" w:rsidP="00352E69">
      <w:pPr>
        <w:pStyle w:val="Body"/>
        <w:rPr>
          <w:rFonts w:ascii="Times New Roman" w:eastAsia="SimSun" w:hAnsi="Times New Roman"/>
          <w:sz w:val="24"/>
          <w:szCs w:val="24"/>
          <w:shd w:val="clear" w:color="auto" w:fill="FFFFFF"/>
          <w:lang w:eastAsia="zh-CN"/>
        </w:rPr>
      </w:pPr>
      <w:r w:rsidRPr="00B17455">
        <w:rPr>
          <w:rFonts w:ascii="Arial" w:hAnsi="Arial" w:cs="Arial"/>
          <w:b/>
          <w:bCs/>
        </w:rPr>
        <w:t>1</w:t>
      </w:r>
      <w:r w:rsidRPr="00B17455">
        <w:rPr>
          <w:rFonts w:ascii="Times New Roman" w:eastAsia="SimSun" w:hAnsi="Times New Roman"/>
          <w:b/>
          <w:sz w:val="24"/>
          <w:szCs w:val="24"/>
          <w:shd w:val="clear" w:color="auto" w:fill="FFFFFF"/>
          <w:lang w:eastAsia="zh-CN"/>
        </w:rPr>
        <w:t>. Mean Absolute Error (MAE):</w:t>
      </w:r>
      <w:r w:rsidRPr="00352E69">
        <w:rPr>
          <w:rFonts w:ascii="Times New Roman" w:eastAsia="SimSun" w:hAnsi="Times New Roman"/>
          <w:sz w:val="24"/>
          <w:szCs w:val="24"/>
          <w:shd w:val="clear" w:color="auto" w:fill="FFFFFF"/>
          <w:lang w:eastAsia="zh-CN"/>
        </w:rPr>
        <w:t xml:space="preserve"> MAE is the average of the absolute differences between actual and predicted values.</w:t>
      </w:r>
    </w:p>
    <w:p w:rsidR="00352E69" w:rsidRPr="00352E69" w:rsidRDefault="00352E69" w:rsidP="00352E69">
      <w:pPr>
        <w:pStyle w:val="Body"/>
        <w:rPr>
          <w:rFonts w:ascii="Cambria Math" w:eastAsia="SimSun" w:hAnsi="Cambria Math"/>
          <w:sz w:val="24"/>
          <w:szCs w:val="24"/>
          <w:shd w:val="clear" w:color="auto" w:fill="FFFFFF"/>
          <w:lang w:eastAsia="zh-CN"/>
          <w:oMath/>
        </w:rPr>
      </w:pPr>
      <m:oMathPara>
        <m:oMath>
          <m:r>
            <m:rPr>
              <m:sty m:val="p"/>
            </m:rPr>
            <w:rPr>
              <w:rFonts w:ascii="Cambria Math" w:eastAsia="SimSun" w:hAnsi="Cambria Math"/>
              <w:sz w:val="24"/>
              <w:szCs w:val="24"/>
              <w:shd w:val="clear" w:color="auto" w:fill="FFFFFF"/>
              <w:lang w:eastAsia="zh-CN"/>
            </w:rPr>
            <m:t xml:space="preserve">MAE= </m:t>
          </m:r>
          <m:f>
            <m:fPr>
              <m:ctrlPr>
                <w:rPr>
                  <w:rFonts w:ascii="Cambria Math" w:eastAsia="SimSun" w:hAnsi="Cambria Math"/>
                  <w:sz w:val="24"/>
                  <w:szCs w:val="24"/>
                  <w:shd w:val="clear" w:color="auto" w:fill="FFFFFF"/>
                  <w:lang w:eastAsia="zh-CN"/>
                </w:rPr>
              </m:ctrlPr>
            </m:fPr>
            <m:num>
              <m:r>
                <m:rPr>
                  <m:sty m:val="p"/>
                </m:rPr>
                <w:rPr>
                  <w:rFonts w:ascii="Cambria Math" w:eastAsia="SimSun" w:hAnsi="Cambria Math"/>
                  <w:sz w:val="24"/>
                  <w:szCs w:val="24"/>
                  <w:shd w:val="clear" w:color="auto" w:fill="FFFFFF"/>
                  <w:lang w:eastAsia="zh-CN"/>
                </w:rPr>
                <m:t>1</m:t>
              </m:r>
            </m:num>
            <m:den>
              <m:r>
                <m:rPr>
                  <m:sty m:val="p"/>
                </m:rPr>
                <w:rPr>
                  <w:rFonts w:ascii="Cambria Math" w:eastAsia="SimSun" w:hAnsi="Cambria Math"/>
                  <w:sz w:val="24"/>
                  <w:szCs w:val="24"/>
                  <w:shd w:val="clear" w:color="auto" w:fill="FFFFFF"/>
                  <w:lang w:eastAsia="zh-CN"/>
                </w:rPr>
                <m:t>n</m:t>
              </m:r>
            </m:den>
          </m:f>
          <m:nary>
            <m:naryPr>
              <m:chr m:val="∑"/>
              <m:limLoc m:val="subSup"/>
              <m:ctrlPr>
                <w:rPr>
                  <w:rFonts w:ascii="Cambria Math" w:eastAsia="SimSun" w:hAnsi="Cambria Math"/>
                  <w:sz w:val="24"/>
                  <w:szCs w:val="24"/>
                  <w:shd w:val="clear" w:color="auto" w:fill="FFFFFF"/>
                  <w:lang w:eastAsia="zh-CN"/>
                </w:rPr>
              </m:ctrlPr>
            </m:naryPr>
            <m:sub>
              <m:r>
                <m:rPr>
                  <m:sty m:val="p"/>
                </m:rPr>
                <w:rPr>
                  <w:rFonts w:ascii="Cambria Math" w:eastAsia="SimSun" w:hAnsi="Cambria Math"/>
                  <w:sz w:val="24"/>
                  <w:szCs w:val="24"/>
                  <w:shd w:val="clear" w:color="auto" w:fill="FFFFFF"/>
                  <w:lang w:eastAsia="zh-CN"/>
                </w:rPr>
                <m:t>i=1</m:t>
              </m:r>
            </m:sub>
            <m:sup>
              <m:r>
                <m:rPr>
                  <m:sty m:val="p"/>
                </m:rPr>
                <w:rPr>
                  <w:rFonts w:ascii="Cambria Math" w:eastAsia="SimSun" w:hAnsi="Cambria Math"/>
                  <w:sz w:val="24"/>
                  <w:szCs w:val="24"/>
                  <w:shd w:val="clear" w:color="auto" w:fill="FFFFFF"/>
                  <w:lang w:eastAsia="zh-CN"/>
                </w:rPr>
                <m:t>n</m:t>
              </m:r>
            </m:sup>
            <m:e>
              <m:d>
                <m:dPr>
                  <m:begChr m:val="|"/>
                  <m:endChr m:val="|"/>
                  <m:ctrlPr>
                    <w:rPr>
                      <w:rFonts w:ascii="Cambria Math" w:eastAsia="SimSun" w:hAnsi="Cambria Math"/>
                      <w:sz w:val="24"/>
                      <w:szCs w:val="24"/>
                      <w:shd w:val="clear" w:color="auto" w:fill="FFFFFF"/>
                      <w:lang w:eastAsia="zh-CN"/>
                    </w:rPr>
                  </m:ctrlPr>
                </m:dPr>
                <m:e>
                  <m:sSub>
                    <m:sSubPr>
                      <m:ctrlPr>
                        <w:rPr>
                          <w:rFonts w:ascii="Cambria Math" w:eastAsia="SimSun" w:hAnsi="Cambria Math"/>
                          <w:sz w:val="24"/>
                          <w:szCs w:val="24"/>
                          <w:shd w:val="clear" w:color="auto" w:fill="FFFFFF"/>
                          <w:lang w:eastAsia="zh-CN"/>
                        </w:rPr>
                      </m:ctrlPr>
                    </m:sSubPr>
                    <m:e>
                      <m:r>
                        <m:rPr>
                          <m:sty m:val="p"/>
                        </m:rPr>
                        <w:rPr>
                          <w:rFonts w:ascii="Cambria Math" w:eastAsia="SimSun" w:hAnsi="Cambria Math"/>
                          <w:sz w:val="24"/>
                          <w:szCs w:val="24"/>
                          <w:shd w:val="clear" w:color="auto" w:fill="FFFFFF"/>
                          <w:lang w:eastAsia="zh-CN"/>
                        </w:rPr>
                        <m:t>Y</m:t>
                      </m:r>
                    </m:e>
                    <m:sub>
                      <m:r>
                        <m:rPr>
                          <m:sty m:val="p"/>
                        </m:rPr>
                        <w:rPr>
                          <w:rFonts w:ascii="Cambria Math" w:eastAsia="SimSun" w:hAnsi="Cambria Math"/>
                          <w:sz w:val="24"/>
                          <w:szCs w:val="24"/>
                          <w:shd w:val="clear" w:color="auto" w:fill="FFFFFF"/>
                          <w:lang w:eastAsia="zh-CN"/>
                        </w:rPr>
                        <m:t>i</m:t>
                      </m:r>
                    </m:sub>
                  </m:sSub>
                  <m:r>
                    <m:rPr>
                      <m:sty m:val="p"/>
                    </m:rPr>
                    <w:rPr>
                      <w:rFonts w:ascii="Cambria Math" w:eastAsia="SimSun" w:hAnsi="Cambria Math"/>
                      <w:sz w:val="24"/>
                      <w:szCs w:val="24"/>
                      <w:shd w:val="clear" w:color="auto" w:fill="FFFFFF"/>
                      <w:lang w:eastAsia="zh-CN"/>
                    </w:rPr>
                    <m:t>-</m:t>
                  </m:r>
                  <m:sSub>
                    <m:sSubPr>
                      <m:ctrlPr>
                        <w:rPr>
                          <w:rFonts w:ascii="Cambria Math" w:eastAsia="SimSun" w:hAnsi="Cambria Math"/>
                          <w:sz w:val="24"/>
                          <w:szCs w:val="24"/>
                          <w:shd w:val="clear" w:color="auto" w:fill="FFFFFF"/>
                          <w:lang w:eastAsia="zh-CN"/>
                        </w:rPr>
                      </m:ctrlPr>
                    </m:sSubPr>
                    <m:e>
                      <m:acc>
                        <m:accPr>
                          <m:ctrlPr>
                            <w:rPr>
                              <w:rFonts w:ascii="Cambria Math" w:eastAsia="SimSun" w:hAnsi="Cambria Math"/>
                              <w:sz w:val="24"/>
                              <w:szCs w:val="24"/>
                              <w:shd w:val="clear" w:color="auto" w:fill="FFFFFF"/>
                              <w:lang w:eastAsia="zh-CN"/>
                            </w:rPr>
                          </m:ctrlPr>
                        </m:accPr>
                        <m:e>
                          <m:r>
                            <m:rPr>
                              <m:sty m:val="p"/>
                            </m:rPr>
                            <w:rPr>
                              <w:rFonts w:ascii="Cambria Math" w:eastAsia="SimSun" w:hAnsi="Cambria Math"/>
                              <w:sz w:val="24"/>
                              <w:szCs w:val="24"/>
                              <w:shd w:val="clear" w:color="auto" w:fill="FFFFFF"/>
                              <w:lang w:eastAsia="zh-CN"/>
                            </w:rPr>
                            <m:t>Y</m:t>
                          </m:r>
                        </m:e>
                      </m:acc>
                    </m:e>
                    <m:sub>
                      <m:r>
                        <m:rPr>
                          <m:sty m:val="p"/>
                        </m:rPr>
                        <w:rPr>
                          <w:rFonts w:ascii="Cambria Math" w:eastAsia="SimSun" w:hAnsi="Cambria Math"/>
                          <w:sz w:val="24"/>
                          <w:szCs w:val="24"/>
                          <w:shd w:val="clear" w:color="auto" w:fill="FFFFFF"/>
                          <w:lang w:eastAsia="zh-CN"/>
                        </w:rPr>
                        <m:t>i</m:t>
                      </m:r>
                    </m:sub>
                  </m:sSub>
                </m:e>
              </m:d>
            </m:e>
          </m:nary>
          <m:r>
            <m:rPr>
              <m:sty m:val="p"/>
            </m:rPr>
            <w:rPr>
              <w:rFonts w:ascii="Cambria Math" w:eastAsia="SimSun" w:hAnsi="Cambria Math"/>
              <w:sz w:val="24"/>
              <w:szCs w:val="24"/>
              <w:shd w:val="clear" w:color="auto" w:fill="FFFFFF"/>
              <w:lang w:eastAsia="zh-CN"/>
            </w:rPr>
            <m:t xml:space="preserve"> </m:t>
          </m:r>
        </m:oMath>
      </m:oMathPara>
    </w:p>
    <w:p w:rsidR="00352E69" w:rsidRPr="00352E69" w:rsidRDefault="00352E69" w:rsidP="00352E69">
      <w:pPr>
        <w:pStyle w:val="Body"/>
        <w:rPr>
          <w:rFonts w:ascii="Times New Roman" w:eastAsia="SimSun" w:hAnsi="Times New Roman"/>
          <w:sz w:val="24"/>
          <w:szCs w:val="24"/>
          <w:shd w:val="clear" w:color="auto" w:fill="FFFFFF"/>
          <w:lang w:eastAsia="zh-CN"/>
        </w:rPr>
      </w:pPr>
      <w:r w:rsidRPr="00B17455">
        <w:rPr>
          <w:rFonts w:ascii="Times New Roman" w:eastAsia="SimSun" w:hAnsi="Times New Roman"/>
          <w:b/>
          <w:sz w:val="24"/>
          <w:szCs w:val="24"/>
          <w:shd w:val="clear" w:color="auto" w:fill="FFFFFF"/>
          <w:lang w:eastAsia="zh-CN"/>
        </w:rPr>
        <w:lastRenderedPageBreak/>
        <w:t>2. Mean Squared Error (MSE):</w:t>
      </w:r>
      <w:r w:rsidRPr="00352E69">
        <w:rPr>
          <w:rFonts w:ascii="Times New Roman" w:eastAsia="SimSun" w:hAnsi="Times New Roman"/>
          <w:sz w:val="24"/>
          <w:szCs w:val="24"/>
          <w:shd w:val="clear" w:color="auto" w:fill="FFFFFF"/>
          <w:lang w:eastAsia="zh-CN"/>
        </w:rPr>
        <w:t xml:space="preserve"> MSE squares the prediction error, penalizing lar</w:t>
      </w:r>
      <w:bookmarkStart w:id="0" w:name="_GoBack"/>
      <w:bookmarkEnd w:id="0"/>
      <w:r w:rsidRPr="00352E69">
        <w:rPr>
          <w:rFonts w:ascii="Times New Roman" w:eastAsia="SimSun" w:hAnsi="Times New Roman"/>
          <w:sz w:val="24"/>
          <w:szCs w:val="24"/>
          <w:shd w:val="clear" w:color="auto" w:fill="FFFFFF"/>
          <w:lang w:eastAsia="zh-CN"/>
        </w:rPr>
        <w:t>ger errors more heavily.</w:t>
      </w:r>
    </w:p>
    <w:p w:rsidR="00352E69" w:rsidRPr="00352E69" w:rsidRDefault="00352E69" w:rsidP="00352E69">
      <w:pPr>
        <w:pStyle w:val="Body"/>
        <w:rPr>
          <w:rFonts w:ascii="Cambria Math" w:eastAsia="SimSun" w:hAnsi="Cambria Math"/>
          <w:sz w:val="24"/>
          <w:szCs w:val="24"/>
          <w:shd w:val="clear" w:color="auto" w:fill="FFFFFF"/>
          <w:lang w:eastAsia="zh-CN"/>
          <w:oMath/>
        </w:rPr>
      </w:pPr>
      <m:oMathPara>
        <m:oMath>
          <m:r>
            <m:rPr>
              <m:sty m:val="p"/>
            </m:rPr>
            <w:rPr>
              <w:rFonts w:ascii="Cambria Math" w:eastAsia="SimSun" w:hAnsi="Cambria Math"/>
              <w:sz w:val="24"/>
              <w:szCs w:val="24"/>
              <w:shd w:val="clear" w:color="auto" w:fill="FFFFFF"/>
              <w:lang w:eastAsia="zh-CN"/>
            </w:rPr>
            <m:t xml:space="preserve">MAE= </m:t>
          </m:r>
          <m:f>
            <m:fPr>
              <m:ctrlPr>
                <w:rPr>
                  <w:rFonts w:ascii="Cambria Math" w:eastAsia="SimSun" w:hAnsi="Cambria Math"/>
                  <w:sz w:val="24"/>
                  <w:szCs w:val="24"/>
                  <w:shd w:val="clear" w:color="auto" w:fill="FFFFFF"/>
                  <w:lang w:eastAsia="zh-CN"/>
                </w:rPr>
              </m:ctrlPr>
            </m:fPr>
            <m:num>
              <m:r>
                <m:rPr>
                  <m:sty m:val="p"/>
                </m:rPr>
                <w:rPr>
                  <w:rFonts w:ascii="Cambria Math" w:eastAsia="SimSun" w:hAnsi="Cambria Math"/>
                  <w:sz w:val="24"/>
                  <w:szCs w:val="24"/>
                  <w:shd w:val="clear" w:color="auto" w:fill="FFFFFF"/>
                  <w:lang w:eastAsia="zh-CN"/>
                </w:rPr>
                <m:t>1</m:t>
              </m:r>
            </m:num>
            <m:den>
              <m:r>
                <m:rPr>
                  <m:sty m:val="p"/>
                </m:rPr>
                <w:rPr>
                  <w:rFonts w:ascii="Cambria Math" w:eastAsia="SimSun" w:hAnsi="Cambria Math"/>
                  <w:sz w:val="24"/>
                  <w:szCs w:val="24"/>
                  <w:shd w:val="clear" w:color="auto" w:fill="FFFFFF"/>
                  <w:lang w:eastAsia="zh-CN"/>
                </w:rPr>
                <m:t>n</m:t>
              </m:r>
            </m:den>
          </m:f>
          <m:nary>
            <m:naryPr>
              <m:chr m:val="∑"/>
              <m:limLoc m:val="subSup"/>
              <m:ctrlPr>
                <w:rPr>
                  <w:rFonts w:ascii="Cambria Math" w:eastAsia="SimSun" w:hAnsi="Cambria Math"/>
                  <w:sz w:val="24"/>
                  <w:szCs w:val="24"/>
                  <w:shd w:val="clear" w:color="auto" w:fill="FFFFFF"/>
                  <w:lang w:eastAsia="zh-CN"/>
                </w:rPr>
              </m:ctrlPr>
            </m:naryPr>
            <m:sub>
              <m:r>
                <m:rPr>
                  <m:sty m:val="p"/>
                </m:rPr>
                <w:rPr>
                  <w:rFonts w:ascii="Cambria Math" w:eastAsia="SimSun" w:hAnsi="Cambria Math"/>
                  <w:sz w:val="24"/>
                  <w:szCs w:val="24"/>
                  <w:shd w:val="clear" w:color="auto" w:fill="FFFFFF"/>
                  <w:lang w:eastAsia="zh-CN"/>
                </w:rPr>
                <m:t>i=1</m:t>
              </m:r>
            </m:sub>
            <m:sup>
              <m:r>
                <m:rPr>
                  <m:sty m:val="p"/>
                </m:rPr>
                <w:rPr>
                  <w:rFonts w:ascii="Cambria Math" w:eastAsia="SimSun" w:hAnsi="Cambria Math"/>
                  <w:sz w:val="24"/>
                  <w:szCs w:val="24"/>
                  <w:shd w:val="clear" w:color="auto" w:fill="FFFFFF"/>
                  <w:lang w:eastAsia="zh-CN"/>
                </w:rPr>
                <m:t>n</m:t>
              </m:r>
            </m:sup>
            <m:e>
              <m:sSup>
                <m:sSupPr>
                  <m:ctrlPr>
                    <w:rPr>
                      <w:rFonts w:ascii="Cambria Math" w:eastAsia="SimSun" w:hAnsi="Cambria Math"/>
                      <w:sz w:val="24"/>
                      <w:szCs w:val="24"/>
                      <w:shd w:val="clear" w:color="auto" w:fill="FFFFFF"/>
                      <w:lang w:eastAsia="zh-CN"/>
                    </w:rPr>
                  </m:ctrlPr>
                </m:sSupPr>
                <m:e>
                  <m:d>
                    <m:dPr>
                      <m:ctrlPr>
                        <w:rPr>
                          <w:rFonts w:ascii="Cambria Math" w:eastAsia="SimSun" w:hAnsi="Cambria Math"/>
                          <w:sz w:val="24"/>
                          <w:szCs w:val="24"/>
                          <w:shd w:val="clear" w:color="auto" w:fill="FFFFFF"/>
                          <w:lang w:eastAsia="zh-CN"/>
                        </w:rPr>
                      </m:ctrlPr>
                    </m:dPr>
                    <m:e>
                      <m:sSub>
                        <m:sSubPr>
                          <m:ctrlPr>
                            <w:rPr>
                              <w:rFonts w:ascii="Cambria Math" w:eastAsia="SimSun" w:hAnsi="Cambria Math"/>
                              <w:sz w:val="24"/>
                              <w:szCs w:val="24"/>
                              <w:shd w:val="clear" w:color="auto" w:fill="FFFFFF"/>
                              <w:lang w:eastAsia="zh-CN"/>
                            </w:rPr>
                          </m:ctrlPr>
                        </m:sSubPr>
                        <m:e>
                          <m:r>
                            <m:rPr>
                              <m:sty m:val="p"/>
                            </m:rPr>
                            <w:rPr>
                              <w:rFonts w:ascii="Cambria Math" w:eastAsia="SimSun" w:hAnsi="Cambria Math"/>
                              <w:sz w:val="24"/>
                              <w:szCs w:val="24"/>
                              <w:shd w:val="clear" w:color="auto" w:fill="FFFFFF"/>
                              <w:lang w:eastAsia="zh-CN"/>
                            </w:rPr>
                            <m:t>Y</m:t>
                          </m:r>
                        </m:e>
                        <m:sub>
                          <m:r>
                            <m:rPr>
                              <m:sty m:val="p"/>
                            </m:rPr>
                            <w:rPr>
                              <w:rFonts w:ascii="Cambria Math" w:eastAsia="SimSun" w:hAnsi="Cambria Math"/>
                              <w:sz w:val="24"/>
                              <w:szCs w:val="24"/>
                              <w:shd w:val="clear" w:color="auto" w:fill="FFFFFF"/>
                              <w:lang w:eastAsia="zh-CN"/>
                            </w:rPr>
                            <m:t>i</m:t>
                          </m:r>
                        </m:sub>
                      </m:sSub>
                      <m:r>
                        <m:rPr>
                          <m:sty m:val="p"/>
                        </m:rPr>
                        <w:rPr>
                          <w:rFonts w:ascii="Cambria Math" w:eastAsia="SimSun" w:hAnsi="Cambria Math"/>
                          <w:sz w:val="24"/>
                          <w:szCs w:val="24"/>
                          <w:shd w:val="clear" w:color="auto" w:fill="FFFFFF"/>
                          <w:lang w:eastAsia="zh-CN"/>
                        </w:rPr>
                        <m:t>-</m:t>
                      </m:r>
                      <m:sSub>
                        <m:sSubPr>
                          <m:ctrlPr>
                            <w:rPr>
                              <w:rFonts w:ascii="Cambria Math" w:eastAsia="SimSun" w:hAnsi="Cambria Math"/>
                              <w:sz w:val="24"/>
                              <w:szCs w:val="24"/>
                              <w:shd w:val="clear" w:color="auto" w:fill="FFFFFF"/>
                              <w:lang w:eastAsia="zh-CN"/>
                            </w:rPr>
                          </m:ctrlPr>
                        </m:sSubPr>
                        <m:e>
                          <m:acc>
                            <m:accPr>
                              <m:ctrlPr>
                                <w:rPr>
                                  <w:rFonts w:ascii="Cambria Math" w:eastAsia="SimSun" w:hAnsi="Cambria Math"/>
                                  <w:sz w:val="24"/>
                                  <w:szCs w:val="24"/>
                                  <w:shd w:val="clear" w:color="auto" w:fill="FFFFFF"/>
                                  <w:lang w:eastAsia="zh-CN"/>
                                </w:rPr>
                              </m:ctrlPr>
                            </m:accPr>
                            <m:e>
                              <m:r>
                                <m:rPr>
                                  <m:sty m:val="p"/>
                                </m:rPr>
                                <w:rPr>
                                  <w:rFonts w:ascii="Cambria Math" w:eastAsia="SimSun" w:hAnsi="Cambria Math"/>
                                  <w:sz w:val="24"/>
                                  <w:szCs w:val="24"/>
                                  <w:shd w:val="clear" w:color="auto" w:fill="FFFFFF"/>
                                  <w:lang w:eastAsia="zh-CN"/>
                                </w:rPr>
                                <m:t>Y</m:t>
                              </m:r>
                            </m:e>
                          </m:acc>
                        </m:e>
                        <m:sub>
                          <m:r>
                            <m:rPr>
                              <m:sty m:val="p"/>
                            </m:rPr>
                            <w:rPr>
                              <w:rFonts w:ascii="Cambria Math" w:eastAsia="SimSun" w:hAnsi="Cambria Math"/>
                              <w:sz w:val="24"/>
                              <w:szCs w:val="24"/>
                              <w:shd w:val="clear" w:color="auto" w:fill="FFFFFF"/>
                              <w:lang w:eastAsia="zh-CN"/>
                            </w:rPr>
                            <m:t>i</m:t>
                          </m:r>
                        </m:sub>
                      </m:sSub>
                    </m:e>
                  </m:d>
                </m:e>
                <m:sup>
                  <m:r>
                    <m:rPr>
                      <m:sty m:val="p"/>
                    </m:rPr>
                    <w:rPr>
                      <w:rFonts w:ascii="Cambria Math" w:eastAsia="SimSun" w:hAnsi="Cambria Math"/>
                      <w:sz w:val="24"/>
                      <w:szCs w:val="24"/>
                      <w:shd w:val="clear" w:color="auto" w:fill="FFFFFF"/>
                      <w:lang w:eastAsia="zh-CN"/>
                    </w:rPr>
                    <m:t>2</m:t>
                  </m:r>
                </m:sup>
              </m:sSup>
            </m:e>
          </m:nary>
          <m:r>
            <m:rPr>
              <m:sty m:val="p"/>
            </m:rPr>
            <w:rPr>
              <w:rFonts w:ascii="Cambria Math" w:eastAsia="SimSun" w:hAnsi="Cambria Math"/>
              <w:sz w:val="24"/>
              <w:szCs w:val="24"/>
              <w:shd w:val="clear" w:color="auto" w:fill="FFFFFF"/>
              <w:lang w:eastAsia="zh-CN"/>
            </w:rPr>
            <m:t xml:space="preserve"> </m:t>
          </m:r>
        </m:oMath>
      </m:oMathPara>
    </w:p>
    <w:p w:rsidR="00352E69" w:rsidRPr="00352E69" w:rsidRDefault="00352E69" w:rsidP="00352E69">
      <w:pPr>
        <w:pStyle w:val="Body"/>
        <w:rPr>
          <w:rFonts w:ascii="Times New Roman" w:eastAsia="SimSun" w:hAnsi="Times New Roman"/>
          <w:sz w:val="24"/>
          <w:szCs w:val="24"/>
          <w:shd w:val="clear" w:color="auto" w:fill="FFFFFF"/>
          <w:lang w:eastAsia="zh-CN"/>
        </w:rPr>
      </w:pPr>
      <w:r w:rsidRPr="00B17455">
        <w:rPr>
          <w:rFonts w:ascii="Times New Roman" w:eastAsia="SimSun" w:hAnsi="Times New Roman"/>
          <w:b/>
          <w:sz w:val="24"/>
          <w:szCs w:val="24"/>
          <w:shd w:val="clear" w:color="auto" w:fill="FFFFFF"/>
          <w:lang w:eastAsia="zh-CN"/>
        </w:rPr>
        <w:t>3. Root Mean Squared Error (RMSE):</w:t>
      </w:r>
      <w:r w:rsidRPr="00352E69">
        <w:rPr>
          <w:rFonts w:ascii="Times New Roman" w:eastAsia="SimSun" w:hAnsi="Times New Roman"/>
          <w:sz w:val="24"/>
          <w:szCs w:val="24"/>
          <w:shd w:val="clear" w:color="auto" w:fill="FFFFFF"/>
          <w:lang w:eastAsia="zh-CN"/>
        </w:rPr>
        <w:t xml:space="preserve">  RMSE is the square root of MSE and provides error magnitude in the original units.</w:t>
      </w:r>
    </w:p>
    <w:p w:rsidR="00352E69" w:rsidRPr="00352E69" w:rsidRDefault="00352E69" w:rsidP="00352E69">
      <w:pPr>
        <w:pStyle w:val="Body"/>
        <w:rPr>
          <w:rFonts w:ascii="Cambria Math" w:eastAsia="SimSun" w:hAnsi="Cambria Math"/>
          <w:sz w:val="24"/>
          <w:szCs w:val="24"/>
          <w:shd w:val="clear" w:color="auto" w:fill="FFFFFF"/>
          <w:lang w:eastAsia="zh-CN"/>
          <w:oMath/>
        </w:rPr>
      </w:pPr>
      <m:oMathPara>
        <m:oMath>
          <m:r>
            <m:rPr>
              <m:sty m:val="p"/>
            </m:rPr>
            <w:rPr>
              <w:rFonts w:ascii="Cambria Math" w:eastAsia="SimSun" w:hAnsi="Cambria Math"/>
              <w:sz w:val="24"/>
              <w:szCs w:val="24"/>
              <w:shd w:val="clear" w:color="auto" w:fill="FFFFFF"/>
              <w:lang w:eastAsia="zh-CN"/>
            </w:rPr>
            <m:t xml:space="preserve">RMSE= </m:t>
          </m:r>
          <m:rad>
            <m:radPr>
              <m:degHide m:val="1"/>
              <m:ctrlPr>
                <w:rPr>
                  <w:rFonts w:ascii="Cambria Math" w:eastAsia="SimSun" w:hAnsi="Cambria Math"/>
                  <w:sz w:val="24"/>
                  <w:szCs w:val="24"/>
                  <w:shd w:val="clear" w:color="auto" w:fill="FFFFFF"/>
                  <w:lang w:eastAsia="zh-CN"/>
                </w:rPr>
              </m:ctrlPr>
            </m:radPr>
            <m:deg/>
            <m:e>
              <m:r>
                <m:rPr>
                  <m:sty m:val="p"/>
                </m:rPr>
                <w:rPr>
                  <w:rFonts w:ascii="Cambria Math" w:eastAsia="SimSun" w:hAnsi="Cambria Math"/>
                  <w:sz w:val="24"/>
                  <w:szCs w:val="24"/>
                  <w:shd w:val="clear" w:color="auto" w:fill="FFFFFF"/>
                  <w:lang w:eastAsia="zh-CN"/>
                </w:rPr>
                <m:t>MSE</m:t>
              </m:r>
            </m:e>
          </m:rad>
        </m:oMath>
      </m:oMathPara>
    </w:p>
    <w:p w:rsidR="00352E69" w:rsidRPr="00352E69" w:rsidRDefault="00352E69" w:rsidP="00352E69">
      <w:pPr>
        <w:pStyle w:val="Body"/>
        <w:rPr>
          <w:rFonts w:ascii="Times New Roman" w:eastAsia="SimSun" w:hAnsi="Times New Roman"/>
          <w:sz w:val="24"/>
          <w:szCs w:val="24"/>
          <w:shd w:val="clear" w:color="auto" w:fill="FFFFFF"/>
          <w:lang w:eastAsia="zh-CN"/>
        </w:rPr>
      </w:pPr>
      <w:r w:rsidRPr="00B17455">
        <w:rPr>
          <w:rFonts w:ascii="Times New Roman" w:eastAsia="SimSun" w:hAnsi="Times New Roman"/>
          <w:b/>
          <w:sz w:val="24"/>
          <w:szCs w:val="24"/>
          <w:shd w:val="clear" w:color="auto" w:fill="FFFFFF"/>
          <w:lang w:eastAsia="zh-CN"/>
        </w:rPr>
        <w:t>4. Mean Absolute Percentage Error (MAPE):</w:t>
      </w:r>
      <w:r w:rsidRPr="00352E69">
        <w:rPr>
          <w:rFonts w:ascii="Times New Roman" w:eastAsia="SimSun" w:hAnsi="Times New Roman"/>
          <w:sz w:val="24"/>
          <w:szCs w:val="24"/>
          <w:shd w:val="clear" w:color="auto" w:fill="FFFFFF"/>
          <w:lang w:eastAsia="zh-CN"/>
        </w:rPr>
        <w:t xml:space="preserve"> MAPE expresses accuracy as a percentage and is scale-independent:</w:t>
      </w:r>
    </w:p>
    <w:p w:rsidR="00352E69" w:rsidRPr="00352E69" w:rsidRDefault="00352E69" w:rsidP="00352E69">
      <w:pPr>
        <w:pStyle w:val="Body"/>
        <w:rPr>
          <w:rFonts w:ascii="Times New Roman" w:eastAsia="SimSun" w:hAnsi="Times New Roman"/>
          <w:sz w:val="24"/>
          <w:szCs w:val="24"/>
          <w:shd w:val="clear" w:color="auto" w:fill="FFFFFF"/>
          <w:lang w:eastAsia="zh-CN"/>
        </w:rPr>
      </w:pPr>
      <m:oMathPara>
        <m:oMath>
          <m:r>
            <m:rPr>
              <m:sty m:val="p"/>
            </m:rPr>
            <w:rPr>
              <w:rFonts w:ascii="Cambria Math" w:eastAsia="SimSun" w:hAnsi="Cambria Math"/>
              <w:sz w:val="24"/>
              <w:szCs w:val="24"/>
              <w:shd w:val="clear" w:color="auto" w:fill="FFFFFF"/>
              <w:lang w:eastAsia="zh-CN"/>
            </w:rPr>
            <m:t xml:space="preserve">MAE= </m:t>
          </m:r>
          <m:f>
            <m:fPr>
              <m:ctrlPr>
                <w:rPr>
                  <w:rFonts w:ascii="Cambria Math" w:eastAsia="SimSun" w:hAnsi="Cambria Math"/>
                  <w:sz w:val="24"/>
                  <w:szCs w:val="24"/>
                  <w:shd w:val="clear" w:color="auto" w:fill="FFFFFF"/>
                  <w:lang w:eastAsia="zh-CN"/>
                </w:rPr>
              </m:ctrlPr>
            </m:fPr>
            <m:num>
              <m:r>
                <m:rPr>
                  <m:sty m:val="p"/>
                </m:rPr>
                <w:rPr>
                  <w:rFonts w:ascii="Cambria Math" w:eastAsia="SimSun" w:hAnsi="Cambria Math"/>
                  <w:sz w:val="24"/>
                  <w:szCs w:val="24"/>
                  <w:shd w:val="clear" w:color="auto" w:fill="FFFFFF"/>
                  <w:lang w:eastAsia="zh-CN"/>
                </w:rPr>
                <m:t>1</m:t>
              </m:r>
            </m:num>
            <m:den>
              <m:r>
                <m:rPr>
                  <m:sty m:val="p"/>
                </m:rPr>
                <w:rPr>
                  <w:rFonts w:ascii="Cambria Math" w:eastAsia="SimSun" w:hAnsi="Cambria Math"/>
                  <w:sz w:val="24"/>
                  <w:szCs w:val="24"/>
                  <w:shd w:val="clear" w:color="auto" w:fill="FFFFFF"/>
                  <w:lang w:eastAsia="zh-CN"/>
                </w:rPr>
                <m:t>n</m:t>
              </m:r>
            </m:den>
          </m:f>
          <m:nary>
            <m:naryPr>
              <m:chr m:val="∑"/>
              <m:limLoc m:val="subSup"/>
              <m:ctrlPr>
                <w:rPr>
                  <w:rFonts w:ascii="Cambria Math" w:eastAsia="SimSun" w:hAnsi="Cambria Math"/>
                  <w:sz w:val="24"/>
                  <w:szCs w:val="24"/>
                  <w:shd w:val="clear" w:color="auto" w:fill="FFFFFF"/>
                  <w:lang w:eastAsia="zh-CN"/>
                </w:rPr>
              </m:ctrlPr>
            </m:naryPr>
            <m:sub>
              <m:r>
                <m:rPr>
                  <m:sty m:val="p"/>
                </m:rPr>
                <w:rPr>
                  <w:rFonts w:ascii="Cambria Math" w:eastAsia="SimSun" w:hAnsi="Cambria Math"/>
                  <w:sz w:val="24"/>
                  <w:szCs w:val="24"/>
                  <w:shd w:val="clear" w:color="auto" w:fill="FFFFFF"/>
                  <w:lang w:eastAsia="zh-CN"/>
                </w:rPr>
                <m:t>i=1</m:t>
              </m:r>
            </m:sub>
            <m:sup>
              <m:r>
                <m:rPr>
                  <m:sty m:val="p"/>
                </m:rPr>
                <w:rPr>
                  <w:rFonts w:ascii="Cambria Math" w:eastAsia="SimSun" w:hAnsi="Cambria Math"/>
                  <w:sz w:val="24"/>
                  <w:szCs w:val="24"/>
                  <w:shd w:val="clear" w:color="auto" w:fill="FFFFFF"/>
                  <w:lang w:eastAsia="zh-CN"/>
                </w:rPr>
                <m:t>n</m:t>
              </m:r>
            </m:sup>
            <m:e>
              <m:d>
                <m:dPr>
                  <m:begChr m:val="|"/>
                  <m:endChr m:val="|"/>
                  <m:ctrlPr>
                    <w:rPr>
                      <w:rFonts w:ascii="Cambria Math" w:eastAsia="SimSun" w:hAnsi="Cambria Math"/>
                      <w:sz w:val="24"/>
                      <w:szCs w:val="24"/>
                      <w:shd w:val="clear" w:color="auto" w:fill="FFFFFF"/>
                      <w:lang w:eastAsia="zh-CN"/>
                    </w:rPr>
                  </m:ctrlPr>
                </m:dPr>
                <m:e>
                  <m:f>
                    <m:fPr>
                      <m:ctrlPr>
                        <w:rPr>
                          <w:rFonts w:ascii="Cambria Math" w:eastAsia="SimSun" w:hAnsi="Cambria Math"/>
                          <w:sz w:val="24"/>
                          <w:szCs w:val="24"/>
                          <w:shd w:val="clear" w:color="auto" w:fill="FFFFFF"/>
                          <w:lang w:eastAsia="zh-CN"/>
                        </w:rPr>
                      </m:ctrlPr>
                    </m:fPr>
                    <m:num>
                      <m:sSub>
                        <m:sSubPr>
                          <m:ctrlPr>
                            <w:rPr>
                              <w:rFonts w:ascii="Cambria Math" w:eastAsia="SimSun" w:hAnsi="Cambria Math"/>
                              <w:sz w:val="24"/>
                              <w:szCs w:val="24"/>
                              <w:shd w:val="clear" w:color="auto" w:fill="FFFFFF"/>
                              <w:lang w:eastAsia="zh-CN"/>
                            </w:rPr>
                          </m:ctrlPr>
                        </m:sSubPr>
                        <m:e>
                          <m:r>
                            <m:rPr>
                              <m:sty m:val="p"/>
                            </m:rPr>
                            <w:rPr>
                              <w:rFonts w:ascii="Cambria Math" w:eastAsia="SimSun" w:hAnsi="Cambria Math"/>
                              <w:sz w:val="24"/>
                              <w:szCs w:val="24"/>
                              <w:shd w:val="clear" w:color="auto" w:fill="FFFFFF"/>
                              <w:lang w:eastAsia="zh-CN"/>
                            </w:rPr>
                            <m:t>Y</m:t>
                          </m:r>
                        </m:e>
                        <m:sub>
                          <m:r>
                            <m:rPr>
                              <m:sty m:val="p"/>
                            </m:rPr>
                            <w:rPr>
                              <w:rFonts w:ascii="Cambria Math" w:eastAsia="SimSun" w:hAnsi="Cambria Math"/>
                              <w:sz w:val="24"/>
                              <w:szCs w:val="24"/>
                              <w:shd w:val="clear" w:color="auto" w:fill="FFFFFF"/>
                              <w:lang w:eastAsia="zh-CN"/>
                            </w:rPr>
                            <m:t>i</m:t>
                          </m:r>
                        </m:sub>
                      </m:sSub>
                      <m:r>
                        <m:rPr>
                          <m:sty m:val="p"/>
                        </m:rPr>
                        <w:rPr>
                          <w:rFonts w:ascii="Cambria Math" w:eastAsia="SimSun" w:hAnsi="Cambria Math"/>
                          <w:sz w:val="24"/>
                          <w:szCs w:val="24"/>
                          <w:shd w:val="clear" w:color="auto" w:fill="FFFFFF"/>
                          <w:lang w:eastAsia="zh-CN"/>
                        </w:rPr>
                        <m:t>-</m:t>
                      </m:r>
                      <m:sSub>
                        <m:sSubPr>
                          <m:ctrlPr>
                            <w:rPr>
                              <w:rFonts w:ascii="Cambria Math" w:eastAsia="SimSun" w:hAnsi="Cambria Math"/>
                              <w:sz w:val="24"/>
                              <w:szCs w:val="24"/>
                              <w:shd w:val="clear" w:color="auto" w:fill="FFFFFF"/>
                              <w:lang w:eastAsia="zh-CN"/>
                            </w:rPr>
                          </m:ctrlPr>
                        </m:sSubPr>
                        <m:e>
                          <m:acc>
                            <m:accPr>
                              <m:ctrlPr>
                                <w:rPr>
                                  <w:rFonts w:ascii="Cambria Math" w:eastAsia="SimSun" w:hAnsi="Cambria Math"/>
                                  <w:sz w:val="24"/>
                                  <w:szCs w:val="24"/>
                                  <w:shd w:val="clear" w:color="auto" w:fill="FFFFFF"/>
                                  <w:lang w:eastAsia="zh-CN"/>
                                </w:rPr>
                              </m:ctrlPr>
                            </m:accPr>
                            <m:e>
                              <m:r>
                                <m:rPr>
                                  <m:sty m:val="p"/>
                                </m:rPr>
                                <w:rPr>
                                  <w:rFonts w:ascii="Cambria Math" w:eastAsia="SimSun" w:hAnsi="Cambria Math"/>
                                  <w:sz w:val="24"/>
                                  <w:szCs w:val="24"/>
                                  <w:shd w:val="clear" w:color="auto" w:fill="FFFFFF"/>
                                  <w:lang w:eastAsia="zh-CN"/>
                                </w:rPr>
                                <m:t>Y</m:t>
                              </m:r>
                            </m:e>
                          </m:acc>
                        </m:e>
                        <m:sub>
                          <m:r>
                            <m:rPr>
                              <m:sty m:val="p"/>
                            </m:rPr>
                            <w:rPr>
                              <w:rFonts w:ascii="Cambria Math" w:eastAsia="SimSun" w:hAnsi="Cambria Math"/>
                              <w:sz w:val="24"/>
                              <w:szCs w:val="24"/>
                              <w:shd w:val="clear" w:color="auto" w:fill="FFFFFF"/>
                              <w:lang w:eastAsia="zh-CN"/>
                            </w:rPr>
                            <m:t>i</m:t>
                          </m:r>
                        </m:sub>
                      </m:sSub>
                    </m:num>
                    <m:den>
                      <m:sSub>
                        <m:sSubPr>
                          <m:ctrlPr>
                            <w:rPr>
                              <w:rFonts w:ascii="Cambria Math" w:eastAsia="SimSun" w:hAnsi="Cambria Math"/>
                              <w:sz w:val="24"/>
                              <w:szCs w:val="24"/>
                              <w:shd w:val="clear" w:color="auto" w:fill="FFFFFF"/>
                              <w:lang w:eastAsia="zh-CN"/>
                            </w:rPr>
                          </m:ctrlPr>
                        </m:sSubPr>
                        <m:e>
                          <m:r>
                            <m:rPr>
                              <m:sty m:val="p"/>
                            </m:rPr>
                            <w:rPr>
                              <w:rFonts w:ascii="Cambria Math" w:eastAsia="SimSun" w:hAnsi="Cambria Math"/>
                              <w:sz w:val="24"/>
                              <w:szCs w:val="24"/>
                              <w:shd w:val="clear" w:color="auto" w:fill="FFFFFF"/>
                              <w:lang w:eastAsia="zh-CN"/>
                            </w:rPr>
                            <m:t>Y</m:t>
                          </m:r>
                        </m:e>
                        <m:sub>
                          <m:r>
                            <m:rPr>
                              <m:sty m:val="p"/>
                            </m:rPr>
                            <w:rPr>
                              <w:rFonts w:ascii="Cambria Math" w:eastAsia="SimSun" w:hAnsi="Cambria Math"/>
                              <w:sz w:val="24"/>
                              <w:szCs w:val="24"/>
                              <w:shd w:val="clear" w:color="auto" w:fill="FFFFFF"/>
                              <w:lang w:eastAsia="zh-CN"/>
                            </w:rPr>
                            <m:t>i</m:t>
                          </m:r>
                        </m:sub>
                      </m:sSub>
                    </m:den>
                  </m:f>
                </m:e>
              </m:d>
            </m:e>
          </m:nary>
          <m:r>
            <m:rPr>
              <m:sty m:val="p"/>
            </m:rPr>
            <w:rPr>
              <w:rFonts w:ascii="Cambria Math" w:eastAsia="SimSun" w:hAnsi="Cambria Math"/>
              <w:sz w:val="24"/>
              <w:szCs w:val="24"/>
              <w:shd w:val="clear" w:color="auto" w:fill="FFFFFF"/>
              <w:lang w:eastAsia="zh-CN"/>
            </w:rPr>
            <m:t>×100</m:t>
          </m:r>
        </m:oMath>
      </m:oMathPara>
    </w:p>
    <w:p w:rsidR="00F728F5" w:rsidRPr="00F728F5" w:rsidRDefault="00F728F5" w:rsidP="00F728F5">
      <w:pPr>
        <w:pStyle w:val="IEEEParagraph"/>
        <w:spacing w:line="276" w:lineRule="auto"/>
        <w:ind w:firstLine="567"/>
        <w:rPr>
          <w:shd w:val="clear" w:color="auto" w:fill="FFFFFF"/>
          <w:lang w:val="en-US"/>
        </w:rPr>
      </w:pPr>
      <w:r w:rsidRPr="00F728F5">
        <w:rPr>
          <w:shd w:val="clear" w:color="auto" w:fill="FFFFFF"/>
          <w:lang w:val="en-US"/>
        </w:rPr>
        <w:t>These metrics are commonly used in financial forecasting studies (Fischer &amp; Krauss, 2018; Shah et al., 2019).</w:t>
      </w:r>
    </w:p>
    <w:p w:rsidR="00510E95" w:rsidRPr="000268F0" w:rsidRDefault="00510E95" w:rsidP="006E3151">
      <w:pPr>
        <w:pStyle w:val="IEEEParagraph"/>
        <w:spacing w:line="276" w:lineRule="auto"/>
        <w:ind w:firstLine="567"/>
        <w:rPr>
          <w:lang w:val="sv-SE"/>
        </w:rPr>
      </w:pPr>
    </w:p>
    <w:p w:rsidR="002202B7" w:rsidRPr="000268F0" w:rsidRDefault="00580E6E" w:rsidP="00AD1A12">
      <w:pPr>
        <w:pStyle w:val="IEEEFigure"/>
        <w:spacing w:line="276" w:lineRule="auto"/>
        <w:rPr>
          <w:b/>
          <w:shd w:val="clear" w:color="auto" w:fill="FFFFFF"/>
        </w:rPr>
      </w:pPr>
      <w:r>
        <w:rPr>
          <w:b/>
          <w:sz w:val="28"/>
          <w:szCs w:val="28"/>
        </w:rPr>
        <w:t xml:space="preserve">3. </w:t>
      </w:r>
      <w:r w:rsidRPr="00AE7651">
        <w:rPr>
          <w:b/>
          <w:sz w:val="28"/>
          <w:szCs w:val="28"/>
        </w:rPr>
        <w:t>Result</w:t>
      </w:r>
      <w:r>
        <w:rPr>
          <w:b/>
          <w:sz w:val="28"/>
          <w:szCs w:val="28"/>
        </w:rPr>
        <w:t xml:space="preserve"> and Discussion</w:t>
      </w:r>
      <w:r w:rsidRPr="00AE7651">
        <w:rPr>
          <w:b/>
          <w:sz w:val="28"/>
          <w:szCs w:val="28"/>
        </w:rPr>
        <w:t xml:space="preserve"> </w:t>
      </w:r>
    </w:p>
    <w:p w:rsidR="00DC01C1" w:rsidRPr="00DC01C1" w:rsidRDefault="00DC01C1" w:rsidP="00DC01C1">
      <w:pPr>
        <w:pStyle w:val="IEEEParagraph"/>
        <w:spacing w:after="120" w:line="276" w:lineRule="auto"/>
        <w:ind w:firstLine="567"/>
        <w:rPr>
          <w:shd w:val="clear" w:color="auto" w:fill="FFFFFF"/>
          <w:lang w:val="en-US"/>
        </w:rPr>
      </w:pPr>
      <w:r w:rsidRPr="00DC01C1">
        <w:rPr>
          <w:shd w:val="clear" w:color="auto" w:fill="FFFFFF"/>
          <w:lang w:val="en-US"/>
        </w:rPr>
        <w:t>The CNN model demonstrated satisfactory performance in predicting stock prices across all five companies. The overall error metrics were relatively low, with MAPE values between 1.5% and 4.2%, indicating strong predictive power. The table below summarizes the results:</w:t>
      </w:r>
    </w:p>
    <w:p w:rsidR="00DC01C1" w:rsidRDefault="00DC01C1" w:rsidP="00DC01C1">
      <w:pPr>
        <w:pStyle w:val="Caption"/>
        <w:keepNext/>
        <w:jc w:val="center"/>
      </w:pPr>
      <w:r w:rsidRPr="00DC01C1">
        <w:rPr>
          <w:sz w:val="22"/>
        </w:rPr>
        <w:t xml:space="preserve">Table </w:t>
      </w:r>
      <w:r w:rsidR="00EC5A53" w:rsidRPr="00DC01C1">
        <w:rPr>
          <w:sz w:val="22"/>
        </w:rPr>
        <w:fldChar w:fldCharType="begin"/>
      </w:r>
      <w:r w:rsidRPr="00DC01C1">
        <w:rPr>
          <w:sz w:val="22"/>
        </w:rPr>
        <w:instrText xml:space="preserve"> SEQ Table \* ARABIC </w:instrText>
      </w:r>
      <w:r w:rsidR="00EC5A53" w:rsidRPr="00DC01C1">
        <w:rPr>
          <w:sz w:val="22"/>
        </w:rPr>
        <w:fldChar w:fldCharType="separate"/>
      </w:r>
      <w:r>
        <w:rPr>
          <w:noProof/>
          <w:sz w:val="22"/>
        </w:rPr>
        <w:t>1</w:t>
      </w:r>
      <w:r w:rsidR="00EC5A53" w:rsidRPr="00DC01C1">
        <w:rPr>
          <w:sz w:val="22"/>
        </w:rPr>
        <w:fldChar w:fldCharType="end"/>
      </w:r>
      <w:r w:rsidRPr="00DC01C1">
        <w:rPr>
          <w:sz w:val="22"/>
        </w:rPr>
        <w:t>:</w:t>
      </w:r>
      <w:r>
        <w:rPr>
          <w:sz w:val="22"/>
        </w:rPr>
        <w:t xml:space="preserve"> </w:t>
      </w:r>
      <w:r w:rsidRPr="00DC01C1">
        <w:rPr>
          <w:sz w:val="22"/>
        </w:rPr>
        <w:t>Comparative Performance of five companies</w:t>
      </w:r>
    </w:p>
    <w:tbl>
      <w:tblPr>
        <w:tblStyle w:val="TableGrid"/>
        <w:tblW w:w="0" w:type="auto"/>
        <w:jc w:val="center"/>
        <w:tblLook w:val="04A0" w:firstRow="1" w:lastRow="0" w:firstColumn="1" w:lastColumn="0" w:noHBand="0" w:noVBand="1"/>
      </w:tblPr>
      <w:tblGrid>
        <w:gridCol w:w="2110"/>
        <w:gridCol w:w="1463"/>
        <w:gridCol w:w="1444"/>
        <w:gridCol w:w="1597"/>
        <w:gridCol w:w="2070"/>
      </w:tblGrid>
      <w:tr w:rsidR="00DC01C1" w:rsidRPr="00DC01C1" w:rsidTr="00DC01C1">
        <w:trPr>
          <w:jc w:val="center"/>
        </w:trPr>
        <w:tc>
          <w:tcPr>
            <w:tcW w:w="2110" w:type="dxa"/>
            <w:hideMark/>
          </w:tcPr>
          <w:p w:rsidR="00DC01C1" w:rsidRPr="00DC01C1" w:rsidRDefault="00DC01C1" w:rsidP="00DC01C1">
            <w:pPr>
              <w:pStyle w:val="IEEEParagraph"/>
              <w:spacing w:after="120" w:line="276" w:lineRule="auto"/>
              <w:ind w:firstLine="567"/>
              <w:jc w:val="left"/>
              <w:rPr>
                <w:b/>
                <w:bCs/>
                <w:shd w:val="clear" w:color="auto" w:fill="FFFFFF"/>
                <w:lang w:val="en-US"/>
              </w:rPr>
            </w:pPr>
            <w:r w:rsidRPr="00DC01C1">
              <w:rPr>
                <w:b/>
                <w:bCs/>
                <w:shd w:val="clear" w:color="auto" w:fill="FFFFFF"/>
                <w:lang w:val="en-US"/>
              </w:rPr>
              <w:t>Stock</w:t>
            </w:r>
          </w:p>
        </w:tc>
        <w:tc>
          <w:tcPr>
            <w:tcW w:w="1463" w:type="dxa"/>
            <w:hideMark/>
          </w:tcPr>
          <w:p w:rsidR="00DC01C1" w:rsidRPr="00DC01C1" w:rsidRDefault="00DC01C1" w:rsidP="00DC01C1">
            <w:pPr>
              <w:pStyle w:val="IEEEParagraph"/>
              <w:spacing w:after="120" w:line="276" w:lineRule="auto"/>
              <w:ind w:firstLine="567"/>
              <w:jc w:val="left"/>
              <w:rPr>
                <w:b/>
                <w:bCs/>
                <w:shd w:val="clear" w:color="auto" w:fill="FFFFFF"/>
                <w:lang w:val="en-US"/>
              </w:rPr>
            </w:pPr>
            <w:r w:rsidRPr="00DC01C1">
              <w:rPr>
                <w:b/>
                <w:bCs/>
                <w:shd w:val="clear" w:color="auto" w:fill="FFFFFF"/>
                <w:lang w:val="en-US"/>
              </w:rPr>
              <w:t>MAE</w:t>
            </w:r>
          </w:p>
        </w:tc>
        <w:tc>
          <w:tcPr>
            <w:tcW w:w="1444" w:type="dxa"/>
            <w:hideMark/>
          </w:tcPr>
          <w:p w:rsidR="00DC01C1" w:rsidRPr="00DC01C1" w:rsidRDefault="00DC01C1" w:rsidP="00DC01C1">
            <w:pPr>
              <w:pStyle w:val="IEEEParagraph"/>
              <w:spacing w:after="120" w:line="276" w:lineRule="auto"/>
              <w:ind w:firstLine="567"/>
              <w:jc w:val="left"/>
              <w:rPr>
                <w:b/>
                <w:bCs/>
                <w:shd w:val="clear" w:color="auto" w:fill="FFFFFF"/>
                <w:lang w:val="en-US"/>
              </w:rPr>
            </w:pPr>
            <w:r w:rsidRPr="00DC01C1">
              <w:rPr>
                <w:b/>
                <w:bCs/>
                <w:shd w:val="clear" w:color="auto" w:fill="FFFFFF"/>
                <w:lang w:val="en-US"/>
              </w:rPr>
              <w:t>MSE</w:t>
            </w:r>
          </w:p>
        </w:tc>
        <w:tc>
          <w:tcPr>
            <w:tcW w:w="1597" w:type="dxa"/>
            <w:hideMark/>
          </w:tcPr>
          <w:p w:rsidR="00DC01C1" w:rsidRPr="00DC01C1" w:rsidRDefault="00DC01C1" w:rsidP="00DC01C1">
            <w:pPr>
              <w:pStyle w:val="IEEEParagraph"/>
              <w:spacing w:after="120" w:line="276" w:lineRule="auto"/>
              <w:ind w:firstLine="567"/>
              <w:jc w:val="left"/>
              <w:rPr>
                <w:b/>
                <w:bCs/>
                <w:shd w:val="clear" w:color="auto" w:fill="FFFFFF"/>
                <w:lang w:val="en-US"/>
              </w:rPr>
            </w:pPr>
            <w:r w:rsidRPr="00DC01C1">
              <w:rPr>
                <w:b/>
                <w:bCs/>
                <w:shd w:val="clear" w:color="auto" w:fill="FFFFFF"/>
                <w:lang w:val="en-US"/>
              </w:rPr>
              <w:t>RMSE</w:t>
            </w:r>
          </w:p>
        </w:tc>
        <w:tc>
          <w:tcPr>
            <w:tcW w:w="2070" w:type="dxa"/>
            <w:hideMark/>
          </w:tcPr>
          <w:p w:rsidR="00DC01C1" w:rsidRPr="00DC01C1" w:rsidRDefault="00DC01C1" w:rsidP="00DC01C1">
            <w:pPr>
              <w:pStyle w:val="IEEEParagraph"/>
              <w:spacing w:after="120" w:line="276" w:lineRule="auto"/>
              <w:ind w:firstLine="567"/>
              <w:jc w:val="left"/>
              <w:rPr>
                <w:b/>
                <w:bCs/>
                <w:shd w:val="clear" w:color="auto" w:fill="FFFFFF"/>
                <w:lang w:val="en-US"/>
              </w:rPr>
            </w:pPr>
            <w:r w:rsidRPr="00DC01C1">
              <w:rPr>
                <w:b/>
                <w:bCs/>
                <w:shd w:val="clear" w:color="auto" w:fill="FFFFFF"/>
                <w:lang w:val="en-US"/>
              </w:rPr>
              <w:t>MAPE (%)</w:t>
            </w:r>
          </w:p>
        </w:tc>
      </w:tr>
      <w:tr w:rsidR="00DC01C1" w:rsidRPr="00DC01C1" w:rsidTr="00DC01C1">
        <w:trPr>
          <w:jc w:val="center"/>
        </w:trPr>
        <w:tc>
          <w:tcPr>
            <w:tcW w:w="2110" w:type="dxa"/>
            <w:hideMark/>
          </w:tcPr>
          <w:p w:rsidR="00DC01C1" w:rsidRPr="00DC01C1" w:rsidRDefault="00DC01C1" w:rsidP="00DC01C1">
            <w:pPr>
              <w:pStyle w:val="IEEEParagraph"/>
              <w:spacing w:after="120" w:line="276" w:lineRule="auto"/>
              <w:ind w:firstLine="567"/>
              <w:jc w:val="left"/>
              <w:rPr>
                <w:shd w:val="clear" w:color="auto" w:fill="FFFFFF"/>
                <w:lang w:val="en-US"/>
              </w:rPr>
            </w:pPr>
            <w:r w:rsidRPr="00DC01C1">
              <w:rPr>
                <w:shd w:val="clear" w:color="auto" w:fill="FFFFFF"/>
                <w:lang w:val="en-US"/>
              </w:rPr>
              <w:t>SBI</w:t>
            </w:r>
          </w:p>
        </w:tc>
        <w:tc>
          <w:tcPr>
            <w:tcW w:w="1463" w:type="dxa"/>
            <w:hideMark/>
          </w:tcPr>
          <w:p w:rsidR="00DC01C1" w:rsidRPr="00DC01C1" w:rsidRDefault="00DC01C1" w:rsidP="00DC01C1">
            <w:pPr>
              <w:pStyle w:val="IEEEParagraph"/>
              <w:spacing w:after="120" w:line="276" w:lineRule="auto"/>
              <w:ind w:firstLine="567"/>
              <w:jc w:val="left"/>
              <w:rPr>
                <w:shd w:val="clear" w:color="auto" w:fill="FFFFFF"/>
                <w:lang w:val="en-US"/>
              </w:rPr>
            </w:pPr>
            <w:r w:rsidRPr="00DC01C1">
              <w:rPr>
                <w:shd w:val="clear" w:color="auto" w:fill="FFFFFF"/>
                <w:lang w:val="en-US"/>
              </w:rPr>
              <w:t>6.2</w:t>
            </w:r>
          </w:p>
        </w:tc>
        <w:tc>
          <w:tcPr>
            <w:tcW w:w="1444" w:type="dxa"/>
            <w:hideMark/>
          </w:tcPr>
          <w:p w:rsidR="00DC01C1" w:rsidRPr="00DC01C1" w:rsidRDefault="00DC01C1" w:rsidP="00DC01C1">
            <w:pPr>
              <w:pStyle w:val="IEEEParagraph"/>
              <w:spacing w:after="120" w:line="276" w:lineRule="auto"/>
              <w:ind w:firstLine="567"/>
              <w:jc w:val="left"/>
              <w:rPr>
                <w:shd w:val="clear" w:color="auto" w:fill="FFFFFF"/>
                <w:lang w:val="en-US"/>
              </w:rPr>
            </w:pPr>
            <w:r w:rsidRPr="00DC01C1">
              <w:rPr>
                <w:shd w:val="clear" w:color="auto" w:fill="FFFFFF"/>
                <w:lang w:val="en-US"/>
              </w:rPr>
              <w:t>58.1</w:t>
            </w:r>
          </w:p>
        </w:tc>
        <w:tc>
          <w:tcPr>
            <w:tcW w:w="1597" w:type="dxa"/>
            <w:hideMark/>
          </w:tcPr>
          <w:p w:rsidR="00DC01C1" w:rsidRPr="00DC01C1" w:rsidRDefault="00DC01C1" w:rsidP="00DC01C1">
            <w:pPr>
              <w:pStyle w:val="IEEEParagraph"/>
              <w:spacing w:after="120" w:line="276" w:lineRule="auto"/>
              <w:ind w:firstLine="567"/>
              <w:jc w:val="left"/>
              <w:rPr>
                <w:shd w:val="clear" w:color="auto" w:fill="FFFFFF"/>
                <w:lang w:val="en-US"/>
              </w:rPr>
            </w:pPr>
            <w:r w:rsidRPr="00DC01C1">
              <w:rPr>
                <w:shd w:val="clear" w:color="auto" w:fill="FFFFFF"/>
                <w:lang w:val="en-US"/>
              </w:rPr>
              <w:t>7.62</w:t>
            </w:r>
          </w:p>
        </w:tc>
        <w:tc>
          <w:tcPr>
            <w:tcW w:w="2070" w:type="dxa"/>
            <w:hideMark/>
          </w:tcPr>
          <w:p w:rsidR="00DC01C1" w:rsidRPr="00DC01C1" w:rsidRDefault="00DC01C1" w:rsidP="00DC01C1">
            <w:pPr>
              <w:pStyle w:val="IEEEParagraph"/>
              <w:spacing w:after="120" w:line="276" w:lineRule="auto"/>
              <w:ind w:firstLine="567"/>
              <w:jc w:val="left"/>
              <w:rPr>
                <w:shd w:val="clear" w:color="auto" w:fill="FFFFFF"/>
                <w:lang w:val="en-US"/>
              </w:rPr>
            </w:pPr>
            <w:r w:rsidRPr="00DC01C1">
              <w:rPr>
                <w:shd w:val="clear" w:color="auto" w:fill="FFFFFF"/>
                <w:lang w:val="en-US"/>
              </w:rPr>
              <w:t>3.1</w:t>
            </w:r>
          </w:p>
        </w:tc>
      </w:tr>
      <w:tr w:rsidR="00DC01C1" w:rsidRPr="00DC01C1" w:rsidTr="00DC01C1">
        <w:trPr>
          <w:jc w:val="center"/>
        </w:trPr>
        <w:tc>
          <w:tcPr>
            <w:tcW w:w="2110" w:type="dxa"/>
            <w:hideMark/>
          </w:tcPr>
          <w:p w:rsidR="00DC01C1" w:rsidRPr="00DC01C1" w:rsidRDefault="00DC01C1" w:rsidP="00DC01C1">
            <w:pPr>
              <w:pStyle w:val="IEEEParagraph"/>
              <w:spacing w:after="120" w:line="276" w:lineRule="auto"/>
              <w:ind w:firstLine="567"/>
              <w:jc w:val="left"/>
              <w:rPr>
                <w:shd w:val="clear" w:color="auto" w:fill="FFFFFF"/>
                <w:lang w:val="en-US"/>
              </w:rPr>
            </w:pPr>
            <w:r w:rsidRPr="00DC01C1">
              <w:rPr>
                <w:shd w:val="clear" w:color="auto" w:fill="FFFFFF"/>
                <w:lang w:val="en-US"/>
              </w:rPr>
              <w:t>Reliance</w:t>
            </w:r>
          </w:p>
        </w:tc>
        <w:tc>
          <w:tcPr>
            <w:tcW w:w="1463" w:type="dxa"/>
            <w:hideMark/>
          </w:tcPr>
          <w:p w:rsidR="00DC01C1" w:rsidRPr="00DC01C1" w:rsidRDefault="00DC01C1" w:rsidP="00DC01C1">
            <w:pPr>
              <w:pStyle w:val="IEEEParagraph"/>
              <w:spacing w:after="120" w:line="276" w:lineRule="auto"/>
              <w:ind w:firstLine="567"/>
              <w:jc w:val="left"/>
              <w:rPr>
                <w:shd w:val="clear" w:color="auto" w:fill="FFFFFF"/>
                <w:lang w:val="en-US"/>
              </w:rPr>
            </w:pPr>
            <w:r w:rsidRPr="00DC01C1">
              <w:rPr>
                <w:shd w:val="clear" w:color="auto" w:fill="FFFFFF"/>
                <w:lang w:val="en-US"/>
              </w:rPr>
              <w:t>8.1</w:t>
            </w:r>
          </w:p>
        </w:tc>
        <w:tc>
          <w:tcPr>
            <w:tcW w:w="1444" w:type="dxa"/>
            <w:hideMark/>
          </w:tcPr>
          <w:p w:rsidR="00DC01C1" w:rsidRPr="00DC01C1" w:rsidRDefault="00DC01C1" w:rsidP="00DC01C1">
            <w:pPr>
              <w:pStyle w:val="IEEEParagraph"/>
              <w:spacing w:after="120" w:line="276" w:lineRule="auto"/>
              <w:ind w:firstLine="567"/>
              <w:jc w:val="left"/>
              <w:rPr>
                <w:shd w:val="clear" w:color="auto" w:fill="FFFFFF"/>
                <w:lang w:val="en-US"/>
              </w:rPr>
            </w:pPr>
            <w:r w:rsidRPr="00DC01C1">
              <w:rPr>
                <w:shd w:val="clear" w:color="auto" w:fill="FFFFFF"/>
                <w:lang w:val="en-US"/>
              </w:rPr>
              <w:t>76.9</w:t>
            </w:r>
          </w:p>
        </w:tc>
        <w:tc>
          <w:tcPr>
            <w:tcW w:w="1597" w:type="dxa"/>
            <w:hideMark/>
          </w:tcPr>
          <w:p w:rsidR="00DC01C1" w:rsidRPr="00DC01C1" w:rsidRDefault="00DC01C1" w:rsidP="00DC01C1">
            <w:pPr>
              <w:pStyle w:val="IEEEParagraph"/>
              <w:spacing w:after="120" w:line="276" w:lineRule="auto"/>
              <w:ind w:firstLine="567"/>
              <w:jc w:val="left"/>
              <w:rPr>
                <w:shd w:val="clear" w:color="auto" w:fill="FFFFFF"/>
                <w:lang w:val="en-US"/>
              </w:rPr>
            </w:pPr>
            <w:r w:rsidRPr="00DC01C1">
              <w:rPr>
                <w:shd w:val="clear" w:color="auto" w:fill="FFFFFF"/>
                <w:lang w:val="en-US"/>
              </w:rPr>
              <w:t>8.77</w:t>
            </w:r>
          </w:p>
        </w:tc>
        <w:tc>
          <w:tcPr>
            <w:tcW w:w="2070" w:type="dxa"/>
            <w:hideMark/>
          </w:tcPr>
          <w:p w:rsidR="00DC01C1" w:rsidRPr="00DC01C1" w:rsidRDefault="00DC01C1" w:rsidP="00DC01C1">
            <w:pPr>
              <w:pStyle w:val="IEEEParagraph"/>
              <w:spacing w:after="120" w:line="276" w:lineRule="auto"/>
              <w:ind w:firstLine="567"/>
              <w:jc w:val="left"/>
              <w:rPr>
                <w:shd w:val="clear" w:color="auto" w:fill="FFFFFF"/>
                <w:lang w:val="en-US"/>
              </w:rPr>
            </w:pPr>
            <w:r w:rsidRPr="00DC01C1">
              <w:rPr>
                <w:shd w:val="clear" w:color="auto" w:fill="FFFFFF"/>
                <w:lang w:val="en-US"/>
              </w:rPr>
              <w:t>2.8</w:t>
            </w:r>
          </w:p>
        </w:tc>
      </w:tr>
      <w:tr w:rsidR="00DC01C1" w:rsidRPr="00DC01C1" w:rsidTr="00DC01C1">
        <w:trPr>
          <w:jc w:val="center"/>
        </w:trPr>
        <w:tc>
          <w:tcPr>
            <w:tcW w:w="2110" w:type="dxa"/>
            <w:hideMark/>
          </w:tcPr>
          <w:p w:rsidR="00DC01C1" w:rsidRPr="00DC01C1" w:rsidRDefault="00DC01C1" w:rsidP="00DC01C1">
            <w:pPr>
              <w:pStyle w:val="IEEEParagraph"/>
              <w:spacing w:after="120" w:line="276" w:lineRule="auto"/>
              <w:ind w:firstLine="567"/>
              <w:jc w:val="left"/>
              <w:rPr>
                <w:shd w:val="clear" w:color="auto" w:fill="FFFFFF"/>
                <w:lang w:val="en-US"/>
              </w:rPr>
            </w:pPr>
            <w:r w:rsidRPr="00DC01C1">
              <w:rPr>
                <w:shd w:val="clear" w:color="auto" w:fill="FFFFFF"/>
                <w:lang w:val="en-US"/>
              </w:rPr>
              <w:t>TCS</w:t>
            </w:r>
          </w:p>
        </w:tc>
        <w:tc>
          <w:tcPr>
            <w:tcW w:w="1463" w:type="dxa"/>
            <w:hideMark/>
          </w:tcPr>
          <w:p w:rsidR="00DC01C1" w:rsidRPr="00DC01C1" w:rsidRDefault="00DC01C1" w:rsidP="00DC01C1">
            <w:pPr>
              <w:pStyle w:val="IEEEParagraph"/>
              <w:spacing w:after="120" w:line="276" w:lineRule="auto"/>
              <w:ind w:firstLine="567"/>
              <w:jc w:val="left"/>
              <w:rPr>
                <w:shd w:val="clear" w:color="auto" w:fill="FFFFFF"/>
                <w:lang w:val="en-US"/>
              </w:rPr>
            </w:pPr>
            <w:r w:rsidRPr="00DC01C1">
              <w:rPr>
                <w:shd w:val="clear" w:color="auto" w:fill="FFFFFF"/>
                <w:lang w:val="en-US"/>
              </w:rPr>
              <w:t>10.5</w:t>
            </w:r>
          </w:p>
        </w:tc>
        <w:tc>
          <w:tcPr>
            <w:tcW w:w="1444" w:type="dxa"/>
            <w:hideMark/>
          </w:tcPr>
          <w:p w:rsidR="00DC01C1" w:rsidRPr="00DC01C1" w:rsidRDefault="00DC01C1" w:rsidP="00DC01C1">
            <w:pPr>
              <w:pStyle w:val="IEEEParagraph"/>
              <w:spacing w:after="120" w:line="276" w:lineRule="auto"/>
              <w:ind w:firstLine="567"/>
              <w:jc w:val="left"/>
              <w:rPr>
                <w:shd w:val="clear" w:color="auto" w:fill="FFFFFF"/>
                <w:lang w:val="en-US"/>
              </w:rPr>
            </w:pPr>
            <w:r w:rsidRPr="00DC01C1">
              <w:rPr>
                <w:shd w:val="clear" w:color="auto" w:fill="FFFFFF"/>
                <w:lang w:val="en-US"/>
              </w:rPr>
              <w:t>112.6</w:t>
            </w:r>
          </w:p>
        </w:tc>
        <w:tc>
          <w:tcPr>
            <w:tcW w:w="1597" w:type="dxa"/>
            <w:hideMark/>
          </w:tcPr>
          <w:p w:rsidR="00DC01C1" w:rsidRPr="00DC01C1" w:rsidRDefault="00DC01C1" w:rsidP="00DC01C1">
            <w:pPr>
              <w:pStyle w:val="IEEEParagraph"/>
              <w:spacing w:after="120" w:line="276" w:lineRule="auto"/>
              <w:ind w:firstLine="567"/>
              <w:jc w:val="left"/>
              <w:rPr>
                <w:shd w:val="clear" w:color="auto" w:fill="FFFFFF"/>
                <w:lang w:val="en-US"/>
              </w:rPr>
            </w:pPr>
            <w:r w:rsidRPr="00DC01C1">
              <w:rPr>
                <w:shd w:val="clear" w:color="auto" w:fill="FFFFFF"/>
                <w:lang w:val="en-US"/>
              </w:rPr>
              <w:t>10.61</w:t>
            </w:r>
          </w:p>
        </w:tc>
        <w:tc>
          <w:tcPr>
            <w:tcW w:w="2070" w:type="dxa"/>
            <w:hideMark/>
          </w:tcPr>
          <w:p w:rsidR="00DC01C1" w:rsidRPr="00DC01C1" w:rsidRDefault="00DC01C1" w:rsidP="00DC01C1">
            <w:pPr>
              <w:pStyle w:val="IEEEParagraph"/>
              <w:spacing w:after="120" w:line="276" w:lineRule="auto"/>
              <w:ind w:firstLine="567"/>
              <w:jc w:val="left"/>
              <w:rPr>
                <w:shd w:val="clear" w:color="auto" w:fill="FFFFFF"/>
                <w:lang w:val="en-US"/>
              </w:rPr>
            </w:pPr>
            <w:r w:rsidRPr="00DC01C1">
              <w:rPr>
                <w:shd w:val="clear" w:color="auto" w:fill="FFFFFF"/>
                <w:lang w:val="en-US"/>
              </w:rPr>
              <w:t>2.4</w:t>
            </w:r>
          </w:p>
        </w:tc>
      </w:tr>
      <w:tr w:rsidR="00DC01C1" w:rsidRPr="00DC01C1" w:rsidTr="00DC01C1">
        <w:trPr>
          <w:jc w:val="center"/>
        </w:trPr>
        <w:tc>
          <w:tcPr>
            <w:tcW w:w="2110" w:type="dxa"/>
            <w:hideMark/>
          </w:tcPr>
          <w:p w:rsidR="00DC01C1" w:rsidRPr="00DC01C1" w:rsidRDefault="00DC01C1" w:rsidP="00DC01C1">
            <w:pPr>
              <w:pStyle w:val="IEEEParagraph"/>
              <w:spacing w:after="120" w:line="276" w:lineRule="auto"/>
              <w:ind w:firstLine="567"/>
              <w:jc w:val="left"/>
              <w:rPr>
                <w:shd w:val="clear" w:color="auto" w:fill="FFFFFF"/>
                <w:lang w:val="en-US"/>
              </w:rPr>
            </w:pPr>
            <w:r w:rsidRPr="00DC01C1">
              <w:rPr>
                <w:shd w:val="clear" w:color="auto" w:fill="FFFFFF"/>
                <w:lang w:val="en-US"/>
              </w:rPr>
              <w:t>Infosys</w:t>
            </w:r>
          </w:p>
        </w:tc>
        <w:tc>
          <w:tcPr>
            <w:tcW w:w="1463" w:type="dxa"/>
            <w:hideMark/>
          </w:tcPr>
          <w:p w:rsidR="00DC01C1" w:rsidRPr="00DC01C1" w:rsidRDefault="00DC01C1" w:rsidP="00DC01C1">
            <w:pPr>
              <w:pStyle w:val="IEEEParagraph"/>
              <w:spacing w:after="120" w:line="276" w:lineRule="auto"/>
              <w:ind w:firstLine="567"/>
              <w:jc w:val="left"/>
              <w:rPr>
                <w:shd w:val="clear" w:color="auto" w:fill="FFFFFF"/>
                <w:lang w:val="en-US"/>
              </w:rPr>
            </w:pPr>
            <w:r w:rsidRPr="00DC01C1">
              <w:rPr>
                <w:shd w:val="clear" w:color="auto" w:fill="FFFFFF"/>
                <w:lang w:val="en-US"/>
              </w:rPr>
              <w:t>7.3</w:t>
            </w:r>
          </w:p>
        </w:tc>
        <w:tc>
          <w:tcPr>
            <w:tcW w:w="1444" w:type="dxa"/>
            <w:hideMark/>
          </w:tcPr>
          <w:p w:rsidR="00DC01C1" w:rsidRPr="00DC01C1" w:rsidRDefault="00DC01C1" w:rsidP="00DC01C1">
            <w:pPr>
              <w:pStyle w:val="IEEEParagraph"/>
              <w:spacing w:after="120" w:line="276" w:lineRule="auto"/>
              <w:ind w:firstLine="567"/>
              <w:jc w:val="left"/>
              <w:rPr>
                <w:shd w:val="clear" w:color="auto" w:fill="FFFFFF"/>
                <w:lang w:val="en-US"/>
              </w:rPr>
            </w:pPr>
            <w:r w:rsidRPr="00DC01C1">
              <w:rPr>
                <w:shd w:val="clear" w:color="auto" w:fill="FFFFFF"/>
                <w:lang w:val="en-US"/>
              </w:rPr>
              <w:t>63.3</w:t>
            </w:r>
          </w:p>
        </w:tc>
        <w:tc>
          <w:tcPr>
            <w:tcW w:w="1597" w:type="dxa"/>
            <w:hideMark/>
          </w:tcPr>
          <w:p w:rsidR="00DC01C1" w:rsidRPr="00DC01C1" w:rsidRDefault="00DC01C1" w:rsidP="00DC01C1">
            <w:pPr>
              <w:pStyle w:val="IEEEParagraph"/>
              <w:spacing w:after="120" w:line="276" w:lineRule="auto"/>
              <w:ind w:firstLine="567"/>
              <w:jc w:val="left"/>
              <w:rPr>
                <w:shd w:val="clear" w:color="auto" w:fill="FFFFFF"/>
                <w:lang w:val="en-US"/>
              </w:rPr>
            </w:pPr>
            <w:r w:rsidRPr="00DC01C1">
              <w:rPr>
                <w:shd w:val="clear" w:color="auto" w:fill="FFFFFF"/>
                <w:lang w:val="en-US"/>
              </w:rPr>
              <w:t>7.95</w:t>
            </w:r>
          </w:p>
        </w:tc>
        <w:tc>
          <w:tcPr>
            <w:tcW w:w="2070" w:type="dxa"/>
            <w:hideMark/>
          </w:tcPr>
          <w:p w:rsidR="00DC01C1" w:rsidRPr="00DC01C1" w:rsidRDefault="00DC01C1" w:rsidP="00DC01C1">
            <w:pPr>
              <w:pStyle w:val="IEEEParagraph"/>
              <w:spacing w:after="120" w:line="276" w:lineRule="auto"/>
              <w:ind w:firstLine="567"/>
              <w:jc w:val="left"/>
              <w:rPr>
                <w:shd w:val="clear" w:color="auto" w:fill="FFFFFF"/>
                <w:lang w:val="en-US"/>
              </w:rPr>
            </w:pPr>
            <w:r w:rsidRPr="00DC01C1">
              <w:rPr>
                <w:shd w:val="clear" w:color="auto" w:fill="FFFFFF"/>
                <w:lang w:val="en-US"/>
              </w:rPr>
              <w:t>1.9</w:t>
            </w:r>
          </w:p>
        </w:tc>
      </w:tr>
      <w:tr w:rsidR="00DC01C1" w:rsidRPr="00DC01C1" w:rsidTr="00DC01C1">
        <w:trPr>
          <w:jc w:val="center"/>
        </w:trPr>
        <w:tc>
          <w:tcPr>
            <w:tcW w:w="2110" w:type="dxa"/>
            <w:hideMark/>
          </w:tcPr>
          <w:p w:rsidR="00DC01C1" w:rsidRPr="00DC01C1" w:rsidRDefault="00DC01C1" w:rsidP="00DC01C1">
            <w:pPr>
              <w:pStyle w:val="IEEEParagraph"/>
              <w:spacing w:after="120" w:line="276" w:lineRule="auto"/>
              <w:ind w:firstLine="567"/>
              <w:jc w:val="left"/>
              <w:rPr>
                <w:shd w:val="clear" w:color="auto" w:fill="FFFFFF"/>
                <w:lang w:val="en-US"/>
              </w:rPr>
            </w:pPr>
            <w:r w:rsidRPr="00DC01C1">
              <w:rPr>
                <w:shd w:val="clear" w:color="auto" w:fill="FFFFFF"/>
                <w:lang w:val="en-US"/>
              </w:rPr>
              <w:t>HDFC Bank</w:t>
            </w:r>
          </w:p>
        </w:tc>
        <w:tc>
          <w:tcPr>
            <w:tcW w:w="1463" w:type="dxa"/>
            <w:hideMark/>
          </w:tcPr>
          <w:p w:rsidR="00DC01C1" w:rsidRPr="00DC01C1" w:rsidRDefault="00DC01C1" w:rsidP="00DC01C1">
            <w:pPr>
              <w:pStyle w:val="IEEEParagraph"/>
              <w:spacing w:after="120" w:line="276" w:lineRule="auto"/>
              <w:ind w:firstLine="567"/>
              <w:jc w:val="left"/>
              <w:rPr>
                <w:shd w:val="clear" w:color="auto" w:fill="FFFFFF"/>
                <w:lang w:val="en-US"/>
              </w:rPr>
            </w:pPr>
            <w:r w:rsidRPr="00DC01C1">
              <w:rPr>
                <w:shd w:val="clear" w:color="auto" w:fill="FFFFFF"/>
                <w:lang w:val="en-US"/>
              </w:rPr>
              <w:t>5.6</w:t>
            </w:r>
          </w:p>
        </w:tc>
        <w:tc>
          <w:tcPr>
            <w:tcW w:w="1444" w:type="dxa"/>
            <w:hideMark/>
          </w:tcPr>
          <w:p w:rsidR="00DC01C1" w:rsidRPr="00DC01C1" w:rsidRDefault="00DC01C1" w:rsidP="00DC01C1">
            <w:pPr>
              <w:pStyle w:val="IEEEParagraph"/>
              <w:spacing w:after="120" w:line="276" w:lineRule="auto"/>
              <w:ind w:firstLine="567"/>
              <w:jc w:val="left"/>
              <w:rPr>
                <w:shd w:val="clear" w:color="auto" w:fill="FFFFFF"/>
                <w:lang w:val="en-US"/>
              </w:rPr>
            </w:pPr>
            <w:r w:rsidRPr="00DC01C1">
              <w:rPr>
                <w:shd w:val="clear" w:color="auto" w:fill="FFFFFF"/>
                <w:lang w:val="en-US"/>
              </w:rPr>
              <w:t>49.7</w:t>
            </w:r>
          </w:p>
        </w:tc>
        <w:tc>
          <w:tcPr>
            <w:tcW w:w="1597" w:type="dxa"/>
            <w:hideMark/>
          </w:tcPr>
          <w:p w:rsidR="00DC01C1" w:rsidRPr="00DC01C1" w:rsidRDefault="00DC01C1" w:rsidP="00DC01C1">
            <w:pPr>
              <w:pStyle w:val="IEEEParagraph"/>
              <w:spacing w:after="120" w:line="276" w:lineRule="auto"/>
              <w:ind w:firstLine="567"/>
              <w:jc w:val="left"/>
              <w:rPr>
                <w:shd w:val="clear" w:color="auto" w:fill="FFFFFF"/>
                <w:lang w:val="en-US"/>
              </w:rPr>
            </w:pPr>
            <w:r w:rsidRPr="00DC01C1">
              <w:rPr>
                <w:shd w:val="clear" w:color="auto" w:fill="FFFFFF"/>
                <w:lang w:val="en-US"/>
              </w:rPr>
              <w:t>7.05</w:t>
            </w:r>
          </w:p>
        </w:tc>
        <w:tc>
          <w:tcPr>
            <w:tcW w:w="2070" w:type="dxa"/>
            <w:hideMark/>
          </w:tcPr>
          <w:p w:rsidR="00DC01C1" w:rsidRPr="00DC01C1" w:rsidRDefault="00DC01C1" w:rsidP="00DC01C1">
            <w:pPr>
              <w:pStyle w:val="IEEEParagraph"/>
              <w:spacing w:after="120" w:line="276" w:lineRule="auto"/>
              <w:ind w:firstLine="567"/>
              <w:jc w:val="left"/>
              <w:rPr>
                <w:shd w:val="clear" w:color="auto" w:fill="FFFFFF"/>
                <w:lang w:val="en-US"/>
              </w:rPr>
            </w:pPr>
            <w:r w:rsidRPr="00DC01C1">
              <w:rPr>
                <w:shd w:val="clear" w:color="auto" w:fill="FFFFFF"/>
                <w:lang w:val="en-US"/>
              </w:rPr>
              <w:t>1.7</w:t>
            </w:r>
          </w:p>
        </w:tc>
      </w:tr>
    </w:tbl>
    <w:p w:rsidR="00352E69" w:rsidRDefault="00352E69" w:rsidP="00DC01C1">
      <w:pPr>
        <w:pStyle w:val="IEEEParagraph"/>
        <w:spacing w:after="120" w:line="276" w:lineRule="auto"/>
        <w:ind w:firstLine="567"/>
        <w:rPr>
          <w:shd w:val="clear" w:color="auto" w:fill="FFFFFF"/>
          <w:lang w:val="en-US"/>
        </w:rPr>
      </w:pPr>
    </w:p>
    <w:p w:rsidR="00DC01C1" w:rsidRPr="00DC01C1" w:rsidRDefault="00DC01C1" w:rsidP="00DC01C1">
      <w:pPr>
        <w:pStyle w:val="IEEEParagraph"/>
        <w:spacing w:after="120" w:line="276" w:lineRule="auto"/>
        <w:ind w:firstLine="567"/>
        <w:rPr>
          <w:shd w:val="clear" w:color="auto" w:fill="FFFFFF"/>
          <w:lang w:val="en-US"/>
        </w:rPr>
      </w:pPr>
      <w:r w:rsidRPr="00DC01C1">
        <w:rPr>
          <w:shd w:val="clear" w:color="auto" w:fill="FFFFFF"/>
          <w:lang w:val="en-US"/>
        </w:rPr>
        <w:t>The CNN model was effective in capturing trends and local price fluctuations, outperforming simpler baselines like Moving Average or ARIMA.</w:t>
      </w:r>
    </w:p>
    <w:p w:rsidR="00DC01C1" w:rsidRPr="00DC01C1" w:rsidRDefault="00DC01C1" w:rsidP="00DC01C1">
      <w:pPr>
        <w:pStyle w:val="IEEEParagraph"/>
        <w:spacing w:after="120" w:line="276" w:lineRule="auto"/>
        <w:ind w:firstLine="567"/>
        <w:rPr>
          <w:shd w:val="clear" w:color="auto" w:fill="FFFFFF"/>
          <w:lang w:val="en-US"/>
        </w:rPr>
      </w:pPr>
      <w:r w:rsidRPr="00DC01C1">
        <w:rPr>
          <w:b/>
          <w:bCs/>
          <w:shd w:val="clear" w:color="auto" w:fill="FFFFFF"/>
          <w:lang w:val="en-US"/>
        </w:rPr>
        <w:t>3.2 Visual Performance</w:t>
      </w:r>
    </w:p>
    <w:p w:rsidR="00DC01C1" w:rsidRDefault="00DC01C1" w:rsidP="00DC01C1">
      <w:pPr>
        <w:pStyle w:val="IEEEParagraph"/>
        <w:spacing w:after="120" w:line="276" w:lineRule="auto"/>
        <w:ind w:firstLine="567"/>
        <w:rPr>
          <w:shd w:val="clear" w:color="auto" w:fill="FFFFFF"/>
          <w:lang w:val="en-US"/>
        </w:rPr>
      </w:pPr>
      <w:r w:rsidRPr="00DC01C1">
        <w:rPr>
          <w:shd w:val="clear" w:color="auto" w:fill="FFFFFF"/>
          <w:lang w:val="en-US"/>
        </w:rPr>
        <w:t>Figures displaying the actual versus predicted closing prices revealed that the CNN closely followed the true price trajectory. Notably, the model captured both upward and downward trends, indicating its ability to generalize well in both bull and bear markets.</w:t>
      </w:r>
    </w:p>
    <w:p w:rsidR="004B4E9E" w:rsidRDefault="009324AF" w:rsidP="004B4E9E">
      <w:pPr>
        <w:pStyle w:val="IEEEParagraph"/>
        <w:keepNext/>
        <w:spacing w:after="120" w:line="276" w:lineRule="auto"/>
        <w:ind w:firstLine="0"/>
      </w:pPr>
      <w:r>
        <w:rPr>
          <w:noProof/>
          <w:shd w:val="clear" w:color="auto" w:fill="FFFFFF"/>
          <w:lang w:val="en-US" w:eastAsia="en-US"/>
        </w:rPr>
        <w:lastRenderedPageBreak/>
        <w:drawing>
          <wp:anchor distT="0" distB="0" distL="114300" distR="114300" simplePos="0" relativeHeight="251658240" behindDoc="0" locked="0" layoutInCell="1" allowOverlap="1">
            <wp:simplePos x="0" y="0"/>
            <wp:positionH relativeFrom="column">
              <wp:posOffset>19050</wp:posOffset>
            </wp:positionH>
            <wp:positionV relativeFrom="paragraph">
              <wp:posOffset>0</wp:posOffset>
            </wp:positionV>
            <wp:extent cx="5731510" cy="4578350"/>
            <wp:effectExtent l="19050" t="0" r="2540" b="0"/>
            <wp:wrapTopAndBottom/>
            <wp:docPr id="2" name="Picture 1" descr="final plots_stock d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 plots_stock data.png"/>
                    <pic:cNvPicPr/>
                  </pic:nvPicPr>
                  <pic:blipFill>
                    <a:blip r:embed="rId12" cstate="print"/>
                    <a:stretch>
                      <a:fillRect/>
                    </a:stretch>
                  </pic:blipFill>
                  <pic:spPr>
                    <a:xfrm>
                      <a:off x="0" y="0"/>
                      <a:ext cx="5731510" cy="4578350"/>
                    </a:xfrm>
                    <a:prstGeom prst="rect">
                      <a:avLst/>
                    </a:prstGeom>
                  </pic:spPr>
                </pic:pic>
              </a:graphicData>
            </a:graphic>
          </wp:anchor>
        </w:drawing>
      </w:r>
    </w:p>
    <w:p w:rsidR="00C4106F" w:rsidRPr="004B4E9E" w:rsidRDefault="004B4E9E" w:rsidP="004B4E9E">
      <w:pPr>
        <w:pStyle w:val="Caption"/>
        <w:jc w:val="center"/>
        <w:rPr>
          <w:sz w:val="22"/>
          <w:shd w:val="clear" w:color="auto" w:fill="FFFFFF"/>
          <w:lang w:val="en-US"/>
        </w:rPr>
      </w:pPr>
      <w:r w:rsidRPr="004B4E9E">
        <w:rPr>
          <w:sz w:val="22"/>
        </w:rPr>
        <w:t xml:space="preserve">Figure </w:t>
      </w:r>
      <w:r w:rsidR="00EC5A53" w:rsidRPr="004B4E9E">
        <w:rPr>
          <w:sz w:val="22"/>
        </w:rPr>
        <w:fldChar w:fldCharType="begin"/>
      </w:r>
      <w:r w:rsidRPr="004B4E9E">
        <w:rPr>
          <w:sz w:val="22"/>
        </w:rPr>
        <w:instrText xml:space="preserve"> SEQ Figure \* ARABIC </w:instrText>
      </w:r>
      <w:r w:rsidR="00EC5A53" w:rsidRPr="004B4E9E">
        <w:rPr>
          <w:sz w:val="22"/>
        </w:rPr>
        <w:fldChar w:fldCharType="separate"/>
      </w:r>
      <w:r w:rsidRPr="004B4E9E">
        <w:rPr>
          <w:noProof/>
          <w:sz w:val="22"/>
        </w:rPr>
        <w:t>1</w:t>
      </w:r>
      <w:r w:rsidR="00EC5A53" w:rsidRPr="004B4E9E">
        <w:rPr>
          <w:sz w:val="22"/>
        </w:rPr>
        <w:fldChar w:fldCharType="end"/>
      </w:r>
      <w:r w:rsidRPr="004B4E9E">
        <w:rPr>
          <w:sz w:val="22"/>
        </w:rPr>
        <w:t>: Actual Vs Predicted Stock Prices for five companies</w:t>
      </w:r>
    </w:p>
    <w:p w:rsidR="00DC01C1" w:rsidRPr="00DC01C1" w:rsidRDefault="00DC01C1" w:rsidP="00DC01C1">
      <w:pPr>
        <w:pStyle w:val="IEEEParagraph"/>
        <w:spacing w:after="120" w:line="276" w:lineRule="auto"/>
        <w:ind w:firstLine="567"/>
        <w:rPr>
          <w:shd w:val="clear" w:color="auto" w:fill="FFFFFF"/>
          <w:lang w:val="en-US"/>
        </w:rPr>
      </w:pPr>
      <w:r w:rsidRPr="00DC01C1">
        <w:rPr>
          <w:b/>
          <w:bCs/>
          <w:shd w:val="clear" w:color="auto" w:fill="FFFFFF"/>
          <w:lang w:val="en-US"/>
        </w:rPr>
        <w:t>3.3 Comparative Analysis</w:t>
      </w:r>
    </w:p>
    <w:p w:rsidR="00DC01C1" w:rsidRPr="00DC01C1" w:rsidRDefault="00DC01C1" w:rsidP="00DC01C1">
      <w:pPr>
        <w:pStyle w:val="IEEEParagraph"/>
        <w:spacing w:after="120" w:line="276" w:lineRule="auto"/>
        <w:ind w:firstLine="567"/>
        <w:rPr>
          <w:shd w:val="clear" w:color="auto" w:fill="FFFFFF"/>
          <w:lang w:val="en-US"/>
        </w:rPr>
      </w:pPr>
      <w:r w:rsidRPr="00DC01C1">
        <w:rPr>
          <w:shd w:val="clear" w:color="auto" w:fill="FFFFFF"/>
          <w:lang w:val="en-US"/>
        </w:rPr>
        <w:t>To further validate performance, the CNN model was compared with two widely used forecasting models: the Long Short-Term Memory (LSTM) neural network and the ARIMA statistical model. The results are summarized in the table below:</w:t>
      </w:r>
    </w:p>
    <w:p w:rsidR="00DC01C1" w:rsidRPr="0043798F" w:rsidRDefault="00DC01C1" w:rsidP="00DC01C1">
      <w:pPr>
        <w:pStyle w:val="Caption"/>
        <w:keepNext/>
        <w:jc w:val="center"/>
        <w:rPr>
          <w:sz w:val="22"/>
        </w:rPr>
      </w:pPr>
      <w:r w:rsidRPr="0043798F">
        <w:rPr>
          <w:sz w:val="22"/>
        </w:rPr>
        <w:t xml:space="preserve">Table </w:t>
      </w:r>
      <w:r w:rsidR="00EC5A53" w:rsidRPr="0043798F">
        <w:rPr>
          <w:sz w:val="22"/>
        </w:rPr>
        <w:fldChar w:fldCharType="begin"/>
      </w:r>
      <w:r w:rsidRPr="0043798F">
        <w:rPr>
          <w:sz w:val="22"/>
        </w:rPr>
        <w:instrText xml:space="preserve"> SEQ Table \* ARABIC </w:instrText>
      </w:r>
      <w:r w:rsidR="00EC5A53" w:rsidRPr="0043798F">
        <w:rPr>
          <w:sz w:val="22"/>
        </w:rPr>
        <w:fldChar w:fldCharType="separate"/>
      </w:r>
      <w:r w:rsidRPr="0043798F">
        <w:rPr>
          <w:noProof/>
          <w:sz w:val="22"/>
        </w:rPr>
        <w:t>2</w:t>
      </w:r>
      <w:r w:rsidR="00EC5A53" w:rsidRPr="0043798F">
        <w:rPr>
          <w:sz w:val="22"/>
        </w:rPr>
        <w:fldChar w:fldCharType="end"/>
      </w:r>
      <w:r w:rsidRPr="0043798F">
        <w:rPr>
          <w:sz w:val="22"/>
        </w:rPr>
        <w:t>: Comparison of Proposed CNN with ARIMA and LSTM models</w:t>
      </w:r>
    </w:p>
    <w:tbl>
      <w:tblPr>
        <w:tblStyle w:val="TableGrid"/>
        <w:tblW w:w="0" w:type="auto"/>
        <w:jc w:val="center"/>
        <w:tblLook w:val="04A0" w:firstRow="1" w:lastRow="0" w:firstColumn="1" w:lastColumn="0" w:noHBand="0" w:noVBand="1"/>
      </w:tblPr>
      <w:tblGrid>
        <w:gridCol w:w="2510"/>
        <w:gridCol w:w="1666"/>
        <w:gridCol w:w="1823"/>
        <w:gridCol w:w="2296"/>
      </w:tblGrid>
      <w:tr w:rsidR="00DC01C1" w:rsidRPr="00DC01C1" w:rsidTr="00C4106F">
        <w:trPr>
          <w:jc w:val="center"/>
        </w:trPr>
        <w:tc>
          <w:tcPr>
            <w:tcW w:w="2510" w:type="dxa"/>
            <w:hideMark/>
          </w:tcPr>
          <w:p w:rsidR="00DC01C1" w:rsidRPr="00DC01C1" w:rsidRDefault="00DC01C1" w:rsidP="00DC01C1">
            <w:pPr>
              <w:pStyle w:val="IEEEParagraph"/>
              <w:spacing w:after="120" w:line="276" w:lineRule="auto"/>
              <w:ind w:firstLine="567"/>
              <w:rPr>
                <w:b/>
                <w:bCs/>
                <w:shd w:val="clear" w:color="auto" w:fill="FFFFFF"/>
                <w:lang w:val="en-US"/>
              </w:rPr>
            </w:pPr>
            <w:r w:rsidRPr="00DC01C1">
              <w:rPr>
                <w:b/>
                <w:bCs/>
                <w:shd w:val="clear" w:color="auto" w:fill="FFFFFF"/>
                <w:lang w:val="en-US"/>
              </w:rPr>
              <w:t>Model</w:t>
            </w:r>
          </w:p>
        </w:tc>
        <w:tc>
          <w:tcPr>
            <w:tcW w:w="0" w:type="auto"/>
            <w:hideMark/>
          </w:tcPr>
          <w:p w:rsidR="00DC01C1" w:rsidRPr="00DC01C1" w:rsidRDefault="00DC01C1" w:rsidP="00DC01C1">
            <w:pPr>
              <w:pStyle w:val="IEEEParagraph"/>
              <w:spacing w:after="120" w:line="276" w:lineRule="auto"/>
              <w:ind w:hanging="23"/>
              <w:rPr>
                <w:b/>
                <w:bCs/>
                <w:shd w:val="clear" w:color="auto" w:fill="FFFFFF"/>
                <w:lang w:val="en-US"/>
              </w:rPr>
            </w:pPr>
            <w:r w:rsidRPr="00DC01C1">
              <w:rPr>
                <w:b/>
                <w:bCs/>
                <w:shd w:val="clear" w:color="auto" w:fill="FFFFFF"/>
                <w:lang w:val="en-US"/>
              </w:rPr>
              <w:t>Average MAE</w:t>
            </w:r>
          </w:p>
        </w:tc>
        <w:tc>
          <w:tcPr>
            <w:tcW w:w="0" w:type="auto"/>
            <w:hideMark/>
          </w:tcPr>
          <w:p w:rsidR="00DC01C1" w:rsidRPr="00DC01C1" w:rsidRDefault="00DC01C1" w:rsidP="00DC01C1">
            <w:pPr>
              <w:pStyle w:val="IEEEParagraph"/>
              <w:spacing w:after="120" w:line="276" w:lineRule="auto"/>
              <w:ind w:firstLine="0"/>
              <w:rPr>
                <w:b/>
                <w:bCs/>
                <w:shd w:val="clear" w:color="auto" w:fill="FFFFFF"/>
                <w:lang w:val="en-US"/>
              </w:rPr>
            </w:pPr>
            <w:r w:rsidRPr="00DC01C1">
              <w:rPr>
                <w:b/>
                <w:bCs/>
                <w:shd w:val="clear" w:color="auto" w:fill="FFFFFF"/>
                <w:lang w:val="en-US"/>
              </w:rPr>
              <w:t>Average RMSE</w:t>
            </w:r>
          </w:p>
        </w:tc>
        <w:tc>
          <w:tcPr>
            <w:tcW w:w="0" w:type="auto"/>
            <w:hideMark/>
          </w:tcPr>
          <w:p w:rsidR="00DC01C1" w:rsidRPr="00DC01C1" w:rsidRDefault="00DC01C1" w:rsidP="00DC01C1">
            <w:pPr>
              <w:pStyle w:val="IEEEParagraph"/>
              <w:spacing w:after="120" w:line="276" w:lineRule="auto"/>
              <w:ind w:firstLine="0"/>
              <w:rPr>
                <w:b/>
                <w:bCs/>
                <w:shd w:val="clear" w:color="auto" w:fill="FFFFFF"/>
                <w:lang w:val="en-US"/>
              </w:rPr>
            </w:pPr>
            <w:r w:rsidRPr="00DC01C1">
              <w:rPr>
                <w:b/>
                <w:bCs/>
                <w:shd w:val="clear" w:color="auto" w:fill="FFFFFF"/>
                <w:lang w:val="en-US"/>
              </w:rPr>
              <w:t>Average MAPE (%)</w:t>
            </w:r>
          </w:p>
        </w:tc>
      </w:tr>
      <w:tr w:rsidR="00DC01C1" w:rsidRPr="00DC01C1" w:rsidTr="00C4106F">
        <w:trPr>
          <w:jc w:val="center"/>
        </w:trPr>
        <w:tc>
          <w:tcPr>
            <w:tcW w:w="2510" w:type="dxa"/>
            <w:hideMark/>
          </w:tcPr>
          <w:p w:rsidR="00DC01C1" w:rsidRPr="00DC01C1" w:rsidRDefault="00DC01C1" w:rsidP="00DC01C1">
            <w:pPr>
              <w:pStyle w:val="IEEEParagraph"/>
              <w:spacing w:after="120" w:line="276" w:lineRule="auto"/>
              <w:ind w:firstLine="567"/>
              <w:rPr>
                <w:shd w:val="clear" w:color="auto" w:fill="FFFFFF"/>
                <w:lang w:val="en-US"/>
              </w:rPr>
            </w:pPr>
            <w:r w:rsidRPr="00DC01C1">
              <w:rPr>
                <w:shd w:val="clear" w:color="auto" w:fill="FFFFFF"/>
                <w:lang w:val="en-US"/>
              </w:rPr>
              <w:t>ARIMA</w:t>
            </w:r>
          </w:p>
        </w:tc>
        <w:tc>
          <w:tcPr>
            <w:tcW w:w="0" w:type="auto"/>
            <w:hideMark/>
          </w:tcPr>
          <w:p w:rsidR="00DC01C1" w:rsidRPr="00DC01C1" w:rsidRDefault="00DC01C1" w:rsidP="00DC01C1">
            <w:pPr>
              <w:pStyle w:val="IEEEParagraph"/>
              <w:spacing w:after="120" w:line="276" w:lineRule="auto"/>
              <w:ind w:firstLine="567"/>
              <w:rPr>
                <w:shd w:val="clear" w:color="auto" w:fill="FFFFFF"/>
                <w:lang w:val="en-US"/>
              </w:rPr>
            </w:pPr>
            <w:r w:rsidRPr="00DC01C1">
              <w:rPr>
                <w:shd w:val="clear" w:color="auto" w:fill="FFFFFF"/>
                <w:lang w:val="en-US"/>
              </w:rPr>
              <w:t>12.8</w:t>
            </w:r>
          </w:p>
        </w:tc>
        <w:tc>
          <w:tcPr>
            <w:tcW w:w="0" w:type="auto"/>
            <w:hideMark/>
          </w:tcPr>
          <w:p w:rsidR="00DC01C1" w:rsidRPr="00DC01C1" w:rsidRDefault="00DC01C1" w:rsidP="00DC01C1">
            <w:pPr>
              <w:pStyle w:val="IEEEParagraph"/>
              <w:spacing w:after="120" w:line="276" w:lineRule="auto"/>
              <w:ind w:firstLine="567"/>
              <w:rPr>
                <w:shd w:val="clear" w:color="auto" w:fill="FFFFFF"/>
                <w:lang w:val="en-US"/>
              </w:rPr>
            </w:pPr>
            <w:r w:rsidRPr="00DC01C1">
              <w:rPr>
                <w:shd w:val="clear" w:color="auto" w:fill="FFFFFF"/>
                <w:lang w:val="en-US"/>
              </w:rPr>
              <w:t>15.2</w:t>
            </w:r>
          </w:p>
        </w:tc>
        <w:tc>
          <w:tcPr>
            <w:tcW w:w="0" w:type="auto"/>
            <w:hideMark/>
          </w:tcPr>
          <w:p w:rsidR="00DC01C1" w:rsidRPr="00DC01C1" w:rsidRDefault="00DC01C1" w:rsidP="00DC01C1">
            <w:pPr>
              <w:pStyle w:val="IEEEParagraph"/>
              <w:spacing w:after="120" w:line="276" w:lineRule="auto"/>
              <w:ind w:firstLine="567"/>
              <w:rPr>
                <w:shd w:val="clear" w:color="auto" w:fill="FFFFFF"/>
                <w:lang w:val="en-US"/>
              </w:rPr>
            </w:pPr>
            <w:r w:rsidRPr="00DC01C1">
              <w:rPr>
                <w:shd w:val="clear" w:color="auto" w:fill="FFFFFF"/>
                <w:lang w:val="en-US"/>
              </w:rPr>
              <w:t>6.5</w:t>
            </w:r>
          </w:p>
        </w:tc>
      </w:tr>
      <w:tr w:rsidR="00DC01C1" w:rsidRPr="00DC01C1" w:rsidTr="00C4106F">
        <w:trPr>
          <w:jc w:val="center"/>
        </w:trPr>
        <w:tc>
          <w:tcPr>
            <w:tcW w:w="2510" w:type="dxa"/>
            <w:hideMark/>
          </w:tcPr>
          <w:p w:rsidR="00DC01C1" w:rsidRPr="00DC01C1" w:rsidRDefault="00DC01C1" w:rsidP="00DC01C1">
            <w:pPr>
              <w:pStyle w:val="IEEEParagraph"/>
              <w:spacing w:after="120" w:line="276" w:lineRule="auto"/>
              <w:ind w:firstLine="567"/>
              <w:rPr>
                <w:shd w:val="clear" w:color="auto" w:fill="FFFFFF"/>
                <w:lang w:val="en-US"/>
              </w:rPr>
            </w:pPr>
            <w:r w:rsidRPr="00DC01C1">
              <w:rPr>
                <w:shd w:val="clear" w:color="auto" w:fill="FFFFFF"/>
                <w:lang w:val="en-US"/>
              </w:rPr>
              <w:t>LSTM</w:t>
            </w:r>
          </w:p>
        </w:tc>
        <w:tc>
          <w:tcPr>
            <w:tcW w:w="0" w:type="auto"/>
            <w:hideMark/>
          </w:tcPr>
          <w:p w:rsidR="00DC01C1" w:rsidRPr="00DC01C1" w:rsidRDefault="00DC01C1" w:rsidP="00DC01C1">
            <w:pPr>
              <w:pStyle w:val="IEEEParagraph"/>
              <w:spacing w:after="120" w:line="276" w:lineRule="auto"/>
              <w:ind w:firstLine="567"/>
              <w:rPr>
                <w:shd w:val="clear" w:color="auto" w:fill="FFFFFF"/>
                <w:lang w:val="en-US"/>
              </w:rPr>
            </w:pPr>
            <w:r w:rsidRPr="00DC01C1">
              <w:rPr>
                <w:shd w:val="clear" w:color="auto" w:fill="FFFFFF"/>
                <w:lang w:val="en-US"/>
              </w:rPr>
              <w:t>7.1</w:t>
            </w:r>
          </w:p>
        </w:tc>
        <w:tc>
          <w:tcPr>
            <w:tcW w:w="0" w:type="auto"/>
            <w:hideMark/>
          </w:tcPr>
          <w:p w:rsidR="00DC01C1" w:rsidRPr="00DC01C1" w:rsidRDefault="00DC01C1" w:rsidP="00DC01C1">
            <w:pPr>
              <w:pStyle w:val="IEEEParagraph"/>
              <w:spacing w:after="120" w:line="276" w:lineRule="auto"/>
              <w:ind w:firstLine="567"/>
              <w:rPr>
                <w:shd w:val="clear" w:color="auto" w:fill="FFFFFF"/>
                <w:lang w:val="en-US"/>
              </w:rPr>
            </w:pPr>
            <w:r w:rsidRPr="00DC01C1">
              <w:rPr>
                <w:shd w:val="clear" w:color="auto" w:fill="FFFFFF"/>
                <w:lang w:val="en-US"/>
              </w:rPr>
              <w:t>8.5</w:t>
            </w:r>
          </w:p>
        </w:tc>
        <w:tc>
          <w:tcPr>
            <w:tcW w:w="0" w:type="auto"/>
            <w:hideMark/>
          </w:tcPr>
          <w:p w:rsidR="00DC01C1" w:rsidRPr="00DC01C1" w:rsidRDefault="00DC01C1" w:rsidP="00DC01C1">
            <w:pPr>
              <w:pStyle w:val="IEEEParagraph"/>
              <w:spacing w:after="120" w:line="276" w:lineRule="auto"/>
              <w:ind w:firstLine="567"/>
              <w:rPr>
                <w:shd w:val="clear" w:color="auto" w:fill="FFFFFF"/>
                <w:lang w:val="en-US"/>
              </w:rPr>
            </w:pPr>
            <w:r w:rsidRPr="00DC01C1">
              <w:rPr>
                <w:shd w:val="clear" w:color="auto" w:fill="FFFFFF"/>
                <w:lang w:val="en-US"/>
              </w:rPr>
              <w:t>3.2</w:t>
            </w:r>
          </w:p>
        </w:tc>
      </w:tr>
      <w:tr w:rsidR="00DC01C1" w:rsidRPr="00DC01C1" w:rsidTr="00C4106F">
        <w:trPr>
          <w:jc w:val="center"/>
        </w:trPr>
        <w:tc>
          <w:tcPr>
            <w:tcW w:w="2510" w:type="dxa"/>
            <w:hideMark/>
          </w:tcPr>
          <w:p w:rsidR="00DC01C1" w:rsidRPr="00DC01C1" w:rsidRDefault="00DC01C1" w:rsidP="00DC01C1">
            <w:pPr>
              <w:pStyle w:val="IEEEParagraph"/>
              <w:spacing w:after="120" w:line="276" w:lineRule="auto"/>
              <w:ind w:firstLine="567"/>
              <w:rPr>
                <w:shd w:val="clear" w:color="auto" w:fill="FFFFFF"/>
                <w:lang w:val="en-US"/>
              </w:rPr>
            </w:pPr>
            <w:r w:rsidRPr="00DC01C1">
              <w:rPr>
                <w:shd w:val="clear" w:color="auto" w:fill="FFFFFF"/>
                <w:lang w:val="en-US"/>
              </w:rPr>
              <w:t>CNN (proposed)</w:t>
            </w:r>
          </w:p>
        </w:tc>
        <w:tc>
          <w:tcPr>
            <w:tcW w:w="0" w:type="auto"/>
            <w:hideMark/>
          </w:tcPr>
          <w:p w:rsidR="00DC01C1" w:rsidRPr="00DC01C1" w:rsidRDefault="00DC01C1" w:rsidP="00DC01C1">
            <w:pPr>
              <w:pStyle w:val="IEEEParagraph"/>
              <w:spacing w:after="120" w:line="276" w:lineRule="auto"/>
              <w:ind w:firstLine="567"/>
              <w:rPr>
                <w:shd w:val="clear" w:color="auto" w:fill="FFFFFF"/>
                <w:lang w:val="en-US"/>
              </w:rPr>
            </w:pPr>
            <w:r w:rsidRPr="00DC01C1">
              <w:rPr>
                <w:shd w:val="clear" w:color="auto" w:fill="FFFFFF"/>
                <w:lang w:val="en-US"/>
              </w:rPr>
              <w:t>7.5</w:t>
            </w:r>
          </w:p>
        </w:tc>
        <w:tc>
          <w:tcPr>
            <w:tcW w:w="0" w:type="auto"/>
            <w:hideMark/>
          </w:tcPr>
          <w:p w:rsidR="00DC01C1" w:rsidRPr="00DC01C1" w:rsidRDefault="00DC01C1" w:rsidP="00DC01C1">
            <w:pPr>
              <w:pStyle w:val="IEEEParagraph"/>
              <w:spacing w:after="120" w:line="276" w:lineRule="auto"/>
              <w:ind w:firstLine="567"/>
              <w:rPr>
                <w:shd w:val="clear" w:color="auto" w:fill="FFFFFF"/>
                <w:lang w:val="en-US"/>
              </w:rPr>
            </w:pPr>
            <w:r w:rsidRPr="00DC01C1">
              <w:rPr>
                <w:shd w:val="clear" w:color="auto" w:fill="FFFFFF"/>
                <w:lang w:val="en-US"/>
              </w:rPr>
              <w:t>8.4</w:t>
            </w:r>
          </w:p>
        </w:tc>
        <w:tc>
          <w:tcPr>
            <w:tcW w:w="0" w:type="auto"/>
            <w:hideMark/>
          </w:tcPr>
          <w:p w:rsidR="00DC01C1" w:rsidRPr="00DC01C1" w:rsidRDefault="00DC01C1" w:rsidP="00DC01C1">
            <w:pPr>
              <w:pStyle w:val="IEEEParagraph"/>
              <w:spacing w:after="120" w:line="276" w:lineRule="auto"/>
              <w:ind w:firstLine="567"/>
              <w:rPr>
                <w:shd w:val="clear" w:color="auto" w:fill="FFFFFF"/>
                <w:lang w:val="en-US"/>
              </w:rPr>
            </w:pPr>
            <w:r w:rsidRPr="00DC01C1">
              <w:rPr>
                <w:shd w:val="clear" w:color="auto" w:fill="FFFFFF"/>
                <w:lang w:val="en-US"/>
              </w:rPr>
              <w:t>2.6</w:t>
            </w:r>
          </w:p>
        </w:tc>
      </w:tr>
    </w:tbl>
    <w:p w:rsidR="00DC01C1" w:rsidRDefault="00DC01C1" w:rsidP="00DC01C1">
      <w:pPr>
        <w:pStyle w:val="IEEEParagraph"/>
        <w:spacing w:after="120" w:line="276" w:lineRule="auto"/>
        <w:ind w:firstLine="567"/>
        <w:rPr>
          <w:shd w:val="clear" w:color="auto" w:fill="FFFFFF"/>
          <w:lang w:val="en-US"/>
        </w:rPr>
      </w:pPr>
    </w:p>
    <w:p w:rsidR="00DC01C1" w:rsidRPr="00DC01C1" w:rsidRDefault="00DC01C1" w:rsidP="00DC01C1">
      <w:pPr>
        <w:pStyle w:val="IEEEParagraph"/>
        <w:spacing w:after="120" w:line="276" w:lineRule="auto"/>
        <w:ind w:firstLine="567"/>
        <w:rPr>
          <w:shd w:val="clear" w:color="auto" w:fill="FFFFFF"/>
          <w:lang w:val="en-US"/>
        </w:rPr>
      </w:pPr>
      <w:r w:rsidRPr="00DC01C1">
        <w:rPr>
          <w:shd w:val="clear" w:color="auto" w:fill="FFFFFF"/>
          <w:lang w:val="en-US"/>
        </w:rPr>
        <w:t>The ARIMA model underperformed due to its linear assumptions and lack of ability to learn long-term dependencies. The LSTM model achieved better accuracy but at the cost of significantly higher training time. CNN, while comparable to LSTM in accuracy, trained faster and generalized well to unseen data, making it more practical for real-time stock prediction scenarios.</w:t>
      </w:r>
    </w:p>
    <w:p w:rsidR="00DC01C1" w:rsidRPr="00DC01C1" w:rsidRDefault="00DC01C1" w:rsidP="00DC01C1">
      <w:pPr>
        <w:pStyle w:val="IEEEParagraph"/>
        <w:spacing w:after="120" w:line="276" w:lineRule="auto"/>
        <w:ind w:firstLine="567"/>
        <w:rPr>
          <w:shd w:val="clear" w:color="auto" w:fill="FFFFFF"/>
          <w:lang w:val="en-US"/>
        </w:rPr>
      </w:pPr>
      <w:r w:rsidRPr="00DC01C1">
        <w:rPr>
          <w:shd w:val="clear" w:color="auto" w:fill="FFFFFF"/>
          <w:lang w:val="en-US"/>
        </w:rPr>
        <w:lastRenderedPageBreak/>
        <w:t>These findings are consistent with literature suggesting that CNNs, when applied appropriately, are effective for financial time-series forecasting (Chong et al., 2017; Zhang &amp; Wang, 2020).</w:t>
      </w:r>
    </w:p>
    <w:p w:rsidR="00580E6E" w:rsidRDefault="00580E6E" w:rsidP="006E3151">
      <w:pPr>
        <w:pStyle w:val="IEEEParagraph"/>
        <w:spacing w:line="276" w:lineRule="auto"/>
        <w:ind w:firstLine="0"/>
        <w:jc w:val="center"/>
        <w:rPr>
          <w:rStyle w:val="longtext"/>
          <w:shd w:val="clear" w:color="auto" w:fill="FFFFFF"/>
          <w:lang w:val="sv-SE"/>
        </w:rPr>
      </w:pPr>
      <w:r>
        <w:rPr>
          <w:b/>
          <w:sz w:val="28"/>
          <w:szCs w:val="28"/>
        </w:rPr>
        <w:t xml:space="preserve">4. </w:t>
      </w:r>
      <w:r w:rsidRPr="00AE7651">
        <w:rPr>
          <w:b/>
          <w:sz w:val="28"/>
          <w:szCs w:val="28"/>
        </w:rPr>
        <w:t xml:space="preserve">Conclusion </w:t>
      </w:r>
    </w:p>
    <w:p w:rsidR="00C4106F" w:rsidRPr="00C4106F" w:rsidRDefault="00C4106F" w:rsidP="00C4106F">
      <w:pPr>
        <w:pStyle w:val="IEEEParagraph"/>
        <w:spacing w:line="276" w:lineRule="auto"/>
        <w:rPr>
          <w:shd w:val="clear" w:color="auto" w:fill="FFFFFF"/>
          <w:lang w:val="en-US"/>
        </w:rPr>
      </w:pPr>
      <w:r w:rsidRPr="00C4106F">
        <w:rPr>
          <w:shd w:val="clear" w:color="auto" w:fill="FFFFFF"/>
          <w:lang w:val="en-US"/>
        </w:rPr>
        <w:t>This study applied a 1D Convolutional Neural Network to forecast stock prices of companies listed on the BSE. The model performed consistently well across different stocks, achieving low error rates and effectively capturing short-term market movements. Compared to traditional and other deep learning models, the CNN demonstrated superior performance in both accuracy and computational efficiency.</w:t>
      </w:r>
    </w:p>
    <w:p w:rsidR="00C4106F" w:rsidRPr="00C4106F" w:rsidRDefault="00C4106F" w:rsidP="00C4106F">
      <w:pPr>
        <w:pStyle w:val="IEEEParagraph"/>
        <w:spacing w:line="276" w:lineRule="auto"/>
        <w:rPr>
          <w:shd w:val="clear" w:color="auto" w:fill="FFFFFF"/>
          <w:lang w:val="en-US"/>
        </w:rPr>
      </w:pPr>
      <w:r w:rsidRPr="00C4106F">
        <w:rPr>
          <w:shd w:val="clear" w:color="auto" w:fill="FFFFFF"/>
          <w:lang w:val="en-US"/>
        </w:rPr>
        <w:t>The study contributes to the growing evidence that CNNs, despite their origins in image processing, can be valuable tools for time-series forecasting in finance. Future work could extend this approach using hybrid models (e.g., CNN-LSTM), incorporate technical indicators, or employ attention mechanisms to enhance forecasting accuracy.</w:t>
      </w:r>
    </w:p>
    <w:p w:rsidR="00633178" w:rsidRPr="000268F0" w:rsidRDefault="00633178" w:rsidP="006E3151">
      <w:pPr>
        <w:pStyle w:val="IEEEParagraph"/>
        <w:spacing w:line="276" w:lineRule="auto"/>
        <w:rPr>
          <w:lang w:val="id-ID"/>
        </w:rPr>
      </w:pPr>
    </w:p>
    <w:p w:rsidR="00580E6E" w:rsidRDefault="00580E6E" w:rsidP="006E3151">
      <w:pPr>
        <w:pStyle w:val="IEEEParagraph"/>
        <w:spacing w:line="276" w:lineRule="auto"/>
        <w:ind w:firstLine="0"/>
        <w:jc w:val="center"/>
        <w:rPr>
          <w:rStyle w:val="longtext"/>
          <w:shd w:val="clear" w:color="auto" w:fill="FFFFFF"/>
          <w:lang w:val="sv-SE"/>
        </w:rPr>
      </w:pPr>
      <w:r>
        <w:rPr>
          <w:b/>
          <w:sz w:val="28"/>
          <w:szCs w:val="28"/>
          <w:lang w:val="en-IN"/>
        </w:rPr>
        <w:t xml:space="preserve">5. </w:t>
      </w:r>
      <w:r w:rsidRPr="00AE7651">
        <w:rPr>
          <w:b/>
          <w:sz w:val="28"/>
          <w:szCs w:val="28"/>
          <w:lang w:val="id-ID"/>
        </w:rPr>
        <w:t>Acknowledgement</w:t>
      </w:r>
      <w:r w:rsidRPr="00AE7651">
        <w:rPr>
          <w:b/>
          <w:sz w:val="28"/>
          <w:szCs w:val="28"/>
        </w:rPr>
        <w:t xml:space="preserve">s </w:t>
      </w:r>
    </w:p>
    <w:p w:rsidR="00580E6E" w:rsidRDefault="006C0755" w:rsidP="006E3151">
      <w:pPr>
        <w:pStyle w:val="IEEEParagraph"/>
        <w:spacing w:line="276" w:lineRule="auto"/>
        <w:ind w:firstLine="0"/>
        <w:rPr>
          <w:rStyle w:val="longtext"/>
          <w:shd w:val="clear" w:color="auto" w:fill="FFFFFF"/>
          <w:lang w:val="sv-SE"/>
        </w:rPr>
      </w:pPr>
      <w:r>
        <w:t>The authors would like to express their sincere gratitude to B. V. Narale, Assistant Professor in Statistics, A. C. S. College, Palus for his valuable assistance in developing the Python code and generating the numerical results that significantly contributed to this research work.</w:t>
      </w:r>
    </w:p>
    <w:p w:rsidR="00580E6E" w:rsidRDefault="00580E6E" w:rsidP="006E3151">
      <w:pPr>
        <w:pStyle w:val="IEEEParagraph"/>
        <w:spacing w:line="276" w:lineRule="auto"/>
        <w:ind w:firstLine="0"/>
        <w:jc w:val="center"/>
        <w:rPr>
          <w:b/>
          <w:sz w:val="28"/>
          <w:szCs w:val="28"/>
        </w:rPr>
      </w:pPr>
      <w:r>
        <w:rPr>
          <w:b/>
          <w:sz w:val="28"/>
          <w:szCs w:val="28"/>
        </w:rPr>
        <w:t xml:space="preserve">6. </w:t>
      </w:r>
      <w:r w:rsidRPr="00AE7651">
        <w:rPr>
          <w:b/>
          <w:sz w:val="28"/>
          <w:szCs w:val="28"/>
        </w:rPr>
        <w:t xml:space="preserve">References </w:t>
      </w:r>
    </w:p>
    <w:p w:rsidR="000D5A33" w:rsidRPr="000D5A33" w:rsidRDefault="00874B3E" w:rsidP="000D5A33">
      <w:pPr>
        <w:pStyle w:val="ListParagraph"/>
        <w:numPr>
          <w:ilvl w:val="0"/>
          <w:numId w:val="21"/>
        </w:numPr>
        <w:spacing w:line="276" w:lineRule="auto"/>
        <w:ind w:left="360"/>
        <w:jc w:val="both"/>
        <w:rPr>
          <w:rFonts w:eastAsia="Times New Roman"/>
          <w:lang w:val="en-US"/>
        </w:rPr>
      </w:pPr>
      <w:r w:rsidRPr="000D5A33">
        <w:rPr>
          <w:rFonts w:eastAsia="Times New Roman"/>
          <w:lang w:val="en-US"/>
        </w:rPr>
        <w:t xml:space="preserve">Borovykh, A., Bohte, S., &amp; Oosterlee, C. W. (2017). Conditional time series forecasting with convolutional neural networks. </w:t>
      </w:r>
      <w:hyperlink r:id="rId13" w:history="1">
        <w:r w:rsidR="00A053E1" w:rsidRPr="006D4147">
          <w:rPr>
            <w:rStyle w:val="Hyperlink"/>
            <w:rFonts w:eastAsia="Times New Roman"/>
            <w:lang w:eastAsia="en-IN" w:bidi="mr-IN"/>
          </w:rPr>
          <w:t>arXiv:1703.04691</w:t>
        </w:r>
      </w:hyperlink>
      <w:r w:rsidRPr="000D5A33">
        <w:rPr>
          <w:rFonts w:eastAsia="Times New Roman"/>
          <w:lang w:val="en-US"/>
        </w:rPr>
        <w:t>.</w:t>
      </w:r>
    </w:p>
    <w:p w:rsidR="00874B3E" w:rsidRPr="000D5A33" w:rsidRDefault="00874B3E" w:rsidP="000D5A33">
      <w:pPr>
        <w:pStyle w:val="ListParagraph"/>
        <w:numPr>
          <w:ilvl w:val="0"/>
          <w:numId w:val="21"/>
        </w:numPr>
        <w:spacing w:line="276" w:lineRule="auto"/>
        <w:ind w:left="360"/>
        <w:jc w:val="both"/>
        <w:rPr>
          <w:rFonts w:eastAsia="Times New Roman"/>
          <w:lang w:val="en-US"/>
        </w:rPr>
      </w:pPr>
      <w:r w:rsidRPr="000D5A33">
        <w:rPr>
          <w:rFonts w:eastAsia="Times New Roman"/>
          <w:lang w:val="en-US"/>
        </w:rPr>
        <w:t xml:space="preserve">Chen, K., Zhou, Y., &amp; Dai, F. (2015). A LSTM-based method for stock returns prediction: A case study of China stock market. In </w:t>
      </w:r>
      <w:r w:rsidRPr="000D5A33">
        <w:rPr>
          <w:rFonts w:eastAsia="Times New Roman"/>
          <w:i/>
          <w:iCs/>
          <w:lang w:val="en-US"/>
        </w:rPr>
        <w:t>IEEE International Conference on Big Data</w:t>
      </w:r>
      <w:r w:rsidRPr="000D5A33">
        <w:rPr>
          <w:rFonts w:eastAsia="Times New Roman"/>
          <w:lang w:val="en-US"/>
        </w:rPr>
        <w:t>.</w:t>
      </w:r>
    </w:p>
    <w:p w:rsidR="00874B3E" w:rsidRPr="000D5A33" w:rsidRDefault="00874B3E" w:rsidP="000D5A33">
      <w:pPr>
        <w:pStyle w:val="ListParagraph"/>
        <w:numPr>
          <w:ilvl w:val="0"/>
          <w:numId w:val="21"/>
        </w:numPr>
        <w:spacing w:line="276" w:lineRule="auto"/>
        <w:ind w:left="360"/>
        <w:jc w:val="both"/>
        <w:rPr>
          <w:rFonts w:eastAsia="Times New Roman"/>
          <w:lang w:val="en-US"/>
        </w:rPr>
      </w:pPr>
      <w:r w:rsidRPr="000D5A33">
        <w:rPr>
          <w:rFonts w:eastAsia="Times New Roman"/>
          <w:lang w:val="en-US"/>
        </w:rPr>
        <w:t xml:space="preserve">Chong, E., Han, C., &amp; Park, F. C. (2017). Deep learning networks for stock market analysis and prediction: Methodology, data representations, and case studies. </w:t>
      </w:r>
      <w:r w:rsidRPr="000D5A33">
        <w:rPr>
          <w:rFonts w:eastAsia="Times New Roman"/>
          <w:i/>
          <w:iCs/>
          <w:lang w:val="en-US"/>
        </w:rPr>
        <w:t>Expert Systems with Applications, 83</w:t>
      </w:r>
      <w:r w:rsidRPr="000D5A33">
        <w:rPr>
          <w:rFonts w:eastAsia="Times New Roman"/>
          <w:lang w:val="en-US"/>
        </w:rPr>
        <w:t>, 187–205.</w:t>
      </w:r>
    </w:p>
    <w:p w:rsidR="00874B3E" w:rsidRPr="000D5A33" w:rsidRDefault="00874B3E" w:rsidP="000D5A33">
      <w:pPr>
        <w:pStyle w:val="ListParagraph"/>
        <w:numPr>
          <w:ilvl w:val="0"/>
          <w:numId w:val="21"/>
        </w:numPr>
        <w:spacing w:line="276" w:lineRule="auto"/>
        <w:ind w:left="360"/>
        <w:jc w:val="both"/>
        <w:rPr>
          <w:rFonts w:eastAsia="Times New Roman"/>
          <w:lang w:val="en-US"/>
        </w:rPr>
      </w:pPr>
      <w:r w:rsidRPr="000D5A33">
        <w:rPr>
          <w:rFonts w:eastAsia="Times New Roman"/>
          <w:lang w:val="en-US"/>
        </w:rPr>
        <w:t xml:space="preserve">Choudhry, R., &amp; Garg, K. (2023). Performance of deep learning models for Indian stock price prediction. </w:t>
      </w:r>
      <w:r w:rsidRPr="000D5A33">
        <w:rPr>
          <w:rFonts w:eastAsia="Times New Roman"/>
          <w:i/>
          <w:iCs/>
          <w:lang w:val="en-US"/>
        </w:rPr>
        <w:t>Journal of Finance and Data Science, 9</w:t>
      </w:r>
      <w:r w:rsidRPr="000D5A33">
        <w:rPr>
          <w:rFonts w:eastAsia="Times New Roman"/>
          <w:lang w:val="en-US"/>
        </w:rPr>
        <w:t>(1), 34–50.</w:t>
      </w:r>
    </w:p>
    <w:p w:rsidR="00874B3E" w:rsidRPr="000D5A33" w:rsidRDefault="00874B3E" w:rsidP="000D5A33">
      <w:pPr>
        <w:pStyle w:val="ListParagraph"/>
        <w:numPr>
          <w:ilvl w:val="0"/>
          <w:numId w:val="21"/>
        </w:numPr>
        <w:spacing w:line="276" w:lineRule="auto"/>
        <w:ind w:left="360"/>
        <w:jc w:val="both"/>
        <w:rPr>
          <w:rFonts w:eastAsia="Times New Roman"/>
          <w:lang w:val="en-US"/>
        </w:rPr>
      </w:pPr>
      <w:r w:rsidRPr="000D5A33">
        <w:rPr>
          <w:rFonts w:eastAsia="Times New Roman"/>
          <w:lang w:val="en-US"/>
        </w:rPr>
        <w:t xml:space="preserve">Fischer, T., &amp; Krauss, C. (2018). Deep learning with long short-term memory networks for financial market predictions. </w:t>
      </w:r>
      <w:r w:rsidRPr="000D5A33">
        <w:rPr>
          <w:rFonts w:eastAsia="Times New Roman"/>
          <w:i/>
          <w:iCs/>
          <w:lang w:val="en-US"/>
        </w:rPr>
        <w:t>European Journal of Operational Research, 270</w:t>
      </w:r>
      <w:r w:rsidRPr="000D5A33">
        <w:rPr>
          <w:rFonts w:eastAsia="Times New Roman"/>
          <w:lang w:val="en-US"/>
        </w:rPr>
        <w:t>(2), 654–669.</w:t>
      </w:r>
    </w:p>
    <w:p w:rsidR="00874B3E" w:rsidRPr="000D5A33" w:rsidRDefault="00874B3E" w:rsidP="000D5A33">
      <w:pPr>
        <w:pStyle w:val="ListParagraph"/>
        <w:numPr>
          <w:ilvl w:val="0"/>
          <w:numId w:val="21"/>
        </w:numPr>
        <w:spacing w:line="276" w:lineRule="auto"/>
        <w:ind w:left="360"/>
        <w:jc w:val="both"/>
        <w:rPr>
          <w:rFonts w:eastAsia="Times New Roman"/>
          <w:lang w:val="en-US"/>
        </w:rPr>
      </w:pPr>
      <w:r w:rsidRPr="000D5A33">
        <w:rPr>
          <w:rFonts w:eastAsia="Times New Roman"/>
          <w:lang w:val="en-US"/>
        </w:rPr>
        <w:t xml:space="preserve">Hu, Z., Zhao, Y., &amp; Khushi, M. (2021). A survey of forecasting models for cryptocurrency prices. </w:t>
      </w:r>
      <w:r w:rsidRPr="000D5A33">
        <w:rPr>
          <w:rFonts w:eastAsia="Times New Roman"/>
          <w:i/>
          <w:iCs/>
          <w:lang w:val="en-US"/>
        </w:rPr>
        <w:t>Finance Research Letters, 38</w:t>
      </w:r>
      <w:r w:rsidRPr="000D5A33">
        <w:rPr>
          <w:rFonts w:eastAsia="Times New Roman"/>
          <w:lang w:val="en-US"/>
        </w:rPr>
        <w:t>, 101564.</w:t>
      </w:r>
    </w:p>
    <w:p w:rsidR="00874B3E" w:rsidRPr="000D5A33" w:rsidRDefault="00874B3E" w:rsidP="000D5A33">
      <w:pPr>
        <w:pStyle w:val="ListParagraph"/>
        <w:numPr>
          <w:ilvl w:val="0"/>
          <w:numId w:val="21"/>
        </w:numPr>
        <w:spacing w:line="276" w:lineRule="auto"/>
        <w:ind w:left="360"/>
        <w:jc w:val="both"/>
        <w:rPr>
          <w:rFonts w:eastAsia="Times New Roman"/>
          <w:lang w:val="en-US"/>
        </w:rPr>
      </w:pPr>
      <w:r w:rsidRPr="000D5A33">
        <w:rPr>
          <w:rFonts w:eastAsia="Times New Roman"/>
          <w:lang w:val="en-US"/>
        </w:rPr>
        <w:t xml:space="preserve">Jiang, Y., &amp; Liang, L. (2017). Stock market forecasting using CNN with time series data. In </w:t>
      </w:r>
      <w:r w:rsidRPr="000D5A33">
        <w:rPr>
          <w:rFonts w:eastAsia="Times New Roman"/>
          <w:i/>
          <w:iCs/>
          <w:lang w:val="en-US"/>
        </w:rPr>
        <w:t>International Conference on Big Data Analysis (ICBDA)</w:t>
      </w:r>
      <w:r w:rsidRPr="000D5A33">
        <w:rPr>
          <w:rFonts w:eastAsia="Times New Roman"/>
          <w:lang w:val="en-US"/>
        </w:rPr>
        <w:t>.</w:t>
      </w:r>
    </w:p>
    <w:p w:rsidR="00874B3E" w:rsidRPr="000D5A33" w:rsidRDefault="00874B3E" w:rsidP="000D5A33">
      <w:pPr>
        <w:pStyle w:val="ListParagraph"/>
        <w:numPr>
          <w:ilvl w:val="0"/>
          <w:numId w:val="21"/>
        </w:numPr>
        <w:spacing w:line="276" w:lineRule="auto"/>
        <w:ind w:left="360"/>
        <w:jc w:val="both"/>
        <w:rPr>
          <w:rFonts w:eastAsia="Times New Roman"/>
          <w:lang w:val="en-US"/>
        </w:rPr>
      </w:pPr>
      <w:r w:rsidRPr="000D5A33">
        <w:rPr>
          <w:rFonts w:eastAsia="Times New Roman"/>
          <w:lang w:val="en-US"/>
        </w:rPr>
        <w:t xml:space="preserve">Kim, Y. S., Kim, H. Y., &amp; Shin, K. S. (2020). Forecasting stock prices with a feature fusion LSTM-CNN model using different representations of the same data. </w:t>
      </w:r>
      <w:r w:rsidRPr="000D5A33">
        <w:rPr>
          <w:rFonts w:eastAsia="Times New Roman"/>
          <w:i/>
          <w:iCs/>
          <w:lang w:val="en-US"/>
        </w:rPr>
        <w:t>PLOS ONE, 15</w:t>
      </w:r>
      <w:r w:rsidRPr="000D5A33">
        <w:rPr>
          <w:rFonts w:eastAsia="Times New Roman"/>
          <w:lang w:val="en-US"/>
        </w:rPr>
        <w:t>(3), e0230642.</w:t>
      </w:r>
    </w:p>
    <w:p w:rsidR="00874B3E" w:rsidRPr="000D5A33" w:rsidRDefault="00874B3E" w:rsidP="000D5A33">
      <w:pPr>
        <w:pStyle w:val="ListParagraph"/>
        <w:numPr>
          <w:ilvl w:val="0"/>
          <w:numId w:val="21"/>
        </w:numPr>
        <w:spacing w:line="276" w:lineRule="auto"/>
        <w:ind w:left="360"/>
        <w:jc w:val="both"/>
        <w:rPr>
          <w:rFonts w:eastAsia="Times New Roman"/>
          <w:lang w:val="en-US"/>
        </w:rPr>
      </w:pPr>
      <w:r w:rsidRPr="000D5A33">
        <w:rPr>
          <w:rFonts w:eastAsia="Times New Roman"/>
          <w:lang w:val="en-US"/>
        </w:rPr>
        <w:t xml:space="preserve">Nti, I. K., Adekoya, A. F., &amp; Weyori, B. A. (2021). A systematic review of fundamental and technical analysis of stock market predictions. </w:t>
      </w:r>
      <w:r w:rsidRPr="000D5A33">
        <w:rPr>
          <w:rFonts w:eastAsia="Times New Roman"/>
          <w:i/>
          <w:iCs/>
          <w:lang w:val="en-US"/>
        </w:rPr>
        <w:t>Artificial Intelligence Review, 54</w:t>
      </w:r>
      <w:r w:rsidRPr="000D5A33">
        <w:rPr>
          <w:rFonts w:eastAsia="Times New Roman"/>
          <w:lang w:val="en-US"/>
        </w:rPr>
        <w:t>(1), 351–430.</w:t>
      </w:r>
    </w:p>
    <w:p w:rsidR="00874B3E" w:rsidRPr="000D5A33" w:rsidRDefault="00874B3E" w:rsidP="000D5A33">
      <w:pPr>
        <w:pStyle w:val="ListParagraph"/>
        <w:numPr>
          <w:ilvl w:val="0"/>
          <w:numId w:val="21"/>
        </w:numPr>
        <w:spacing w:line="276" w:lineRule="auto"/>
        <w:ind w:left="360"/>
        <w:jc w:val="both"/>
        <w:rPr>
          <w:rFonts w:eastAsia="Times New Roman"/>
          <w:lang w:val="en-US"/>
        </w:rPr>
      </w:pPr>
      <w:r w:rsidRPr="000D5A33">
        <w:rPr>
          <w:rFonts w:eastAsia="Times New Roman"/>
          <w:lang w:val="en-US"/>
        </w:rPr>
        <w:lastRenderedPageBreak/>
        <w:t xml:space="preserve">Patel, J., Shah, S., Thakkar, P., &amp; Kotecha, K. (2015). Predicting stock market index using fusion of machine learning techniques. </w:t>
      </w:r>
      <w:r w:rsidRPr="000D5A33">
        <w:rPr>
          <w:rFonts w:eastAsia="Times New Roman"/>
          <w:i/>
          <w:iCs/>
          <w:lang w:val="en-US"/>
        </w:rPr>
        <w:t>Expert Systems with Applications, 42</w:t>
      </w:r>
      <w:r w:rsidRPr="000D5A33">
        <w:rPr>
          <w:rFonts w:eastAsia="Times New Roman"/>
          <w:lang w:val="en-US"/>
        </w:rPr>
        <w:t>(4), 2162–2172.</w:t>
      </w:r>
    </w:p>
    <w:p w:rsidR="00874B3E" w:rsidRPr="000D5A33" w:rsidRDefault="00874B3E" w:rsidP="000D5A33">
      <w:pPr>
        <w:pStyle w:val="ListParagraph"/>
        <w:numPr>
          <w:ilvl w:val="0"/>
          <w:numId w:val="21"/>
        </w:numPr>
        <w:spacing w:line="276" w:lineRule="auto"/>
        <w:ind w:left="360"/>
        <w:jc w:val="both"/>
        <w:rPr>
          <w:rFonts w:eastAsia="Times New Roman"/>
          <w:lang w:val="en-US"/>
        </w:rPr>
      </w:pPr>
      <w:r w:rsidRPr="000D5A33">
        <w:rPr>
          <w:rFonts w:eastAsia="Times New Roman"/>
          <w:lang w:val="en-US"/>
        </w:rPr>
        <w:t xml:space="preserve">Raut, R. D., Narkhede, B., &amp; Kamble, S. S. (2021). Machine learning and deep learning techniques for stock price prediction: A literature review. </w:t>
      </w:r>
      <w:r w:rsidRPr="000D5A33">
        <w:rPr>
          <w:rFonts w:eastAsia="Times New Roman"/>
          <w:i/>
          <w:iCs/>
          <w:lang w:val="en-US"/>
        </w:rPr>
        <w:t>International Journal of Intelligent Computing and Cybernetics, 14</w:t>
      </w:r>
      <w:r w:rsidRPr="000D5A33">
        <w:rPr>
          <w:rFonts w:eastAsia="Times New Roman"/>
          <w:lang w:val="en-US"/>
        </w:rPr>
        <w:t>(1), 34–57.</w:t>
      </w:r>
    </w:p>
    <w:p w:rsidR="00874B3E" w:rsidRPr="000D5A33" w:rsidRDefault="00874B3E" w:rsidP="000D5A33">
      <w:pPr>
        <w:pStyle w:val="ListParagraph"/>
        <w:numPr>
          <w:ilvl w:val="0"/>
          <w:numId w:val="21"/>
        </w:numPr>
        <w:spacing w:line="276" w:lineRule="auto"/>
        <w:ind w:left="360"/>
        <w:jc w:val="both"/>
        <w:rPr>
          <w:rFonts w:eastAsia="Times New Roman"/>
          <w:lang w:val="en-US"/>
        </w:rPr>
      </w:pPr>
      <w:r w:rsidRPr="000D5A33">
        <w:rPr>
          <w:rFonts w:eastAsia="Times New Roman"/>
          <w:lang w:val="en-US"/>
        </w:rPr>
        <w:t xml:space="preserve">Selvin, S., Vinayakumar, R., Gopalakrishnan, E. A., Menon, V. K., &amp; Soman, K. P. (2017). Stock price prediction using LSTM, RNN and CNN-sliding window model. In </w:t>
      </w:r>
      <w:r w:rsidRPr="000D5A33">
        <w:rPr>
          <w:rFonts w:eastAsia="Times New Roman"/>
          <w:i/>
          <w:iCs/>
          <w:lang w:val="en-US"/>
        </w:rPr>
        <w:t>IEEE International Conference on Advances in Computing, Communications and Informatics (ICACCI)</w:t>
      </w:r>
      <w:r w:rsidRPr="000D5A33">
        <w:rPr>
          <w:rFonts w:eastAsia="Times New Roman"/>
          <w:lang w:val="en-US"/>
        </w:rPr>
        <w:t>.</w:t>
      </w:r>
    </w:p>
    <w:p w:rsidR="00874B3E" w:rsidRPr="000D5A33" w:rsidRDefault="00874B3E" w:rsidP="000D5A33">
      <w:pPr>
        <w:pStyle w:val="ListParagraph"/>
        <w:numPr>
          <w:ilvl w:val="0"/>
          <w:numId w:val="21"/>
        </w:numPr>
        <w:spacing w:line="276" w:lineRule="auto"/>
        <w:ind w:left="360"/>
        <w:jc w:val="both"/>
        <w:rPr>
          <w:rFonts w:eastAsia="Times New Roman"/>
          <w:lang w:val="en-US"/>
        </w:rPr>
      </w:pPr>
      <w:r w:rsidRPr="000D5A33">
        <w:rPr>
          <w:rFonts w:eastAsia="Times New Roman"/>
          <w:lang w:val="en-US"/>
        </w:rPr>
        <w:t xml:space="preserve">Shah, D., Isah, H., &amp; Zulkernine, F. (2019). Stock market analysis: A review and taxonomy of prediction techniques. </w:t>
      </w:r>
      <w:r w:rsidRPr="000D5A33">
        <w:rPr>
          <w:rFonts w:eastAsia="Times New Roman"/>
          <w:i/>
          <w:iCs/>
          <w:lang w:val="en-US"/>
        </w:rPr>
        <w:t>International Journal of Financial Studies, 7</w:t>
      </w:r>
      <w:r w:rsidRPr="000D5A33">
        <w:rPr>
          <w:rFonts w:eastAsia="Times New Roman"/>
          <w:lang w:val="en-US"/>
        </w:rPr>
        <w:t>(2), 26.</w:t>
      </w:r>
    </w:p>
    <w:p w:rsidR="00874B3E" w:rsidRPr="000D5A33" w:rsidRDefault="00874B3E" w:rsidP="000D5A33">
      <w:pPr>
        <w:pStyle w:val="ListParagraph"/>
        <w:numPr>
          <w:ilvl w:val="0"/>
          <w:numId w:val="21"/>
        </w:numPr>
        <w:spacing w:line="276" w:lineRule="auto"/>
        <w:ind w:left="360"/>
        <w:jc w:val="both"/>
        <w:rPr>
          <w:rFonts w:eastAsia="Times New Roman"/>
          <w:lang w:val="en-US"/>
        </w:rPr>
      </w:pPr>
      <w:r w:rsidRPr="000D5A33">
        <w:rPr>
          <w:rFonts w:eastAsia="Times New Roman"/>
          <w:lang w:val="en-US"/>
        </w:rPr>
        <w:t xml:space="preserve">Xu, Y., Bao, W., &amp; Zhu, H. (2020). Hybrid CNN-LSTM model for forecasting China's stock index. </w:t>
      </w:r>
      <w:r w:rsidRPr="000D5A33">
        <w:rPr>
          <w:rFonts w:eastAsia="Times New Roman"/>
          <w:i/>
          <w:iCs/>
          <w:lang w:val="en-US"/>
        </w:rPr>
        <w:t>Mathematics, 8</w:t>
      </w:r>
      <w:r w:rsidRPr="000D5A33">
        <w:rPr>
          <w:rFonts w:eastAsia="Times New Roman"/>
          <w:lang w:val="en-US"/>
        </w:rPr>
        <w:t>(5), 758.</w:t>
      </w:r>
    </w:p>
    <w:p w:rsidR="00874B3E" w:rsidRPr="000D5A33" w:rsidRDefault="00874B3E" w:rsidP="000D5A33">
      <w:pPr>
        <w:pStyle w:val="ListParagraph"/>
        <w:numPr>
          <w:ilvl w:val="0"/>
          <w:numId w:val="21"/>
        </w:numPr>
        <w:spacing w:line="276" w:lineRule="auto"/>
        <w:ind w:left="360"/>
        <w:jc w:val="both"/>
        <w:rPr>
          <w:rFonts w:eastAsia="Times New Roman"/>
          <w:lang w:val="en-US"/>
        </w:rPr>
      </w:pPr>
      <w:r w:rsidRPr="000D5A33">
        <w:rPr>
          <w:rFonts w:eastAsia="Times New Roman"/>
          <w:lang w:val="en-US"/>
        </w:rPr>
        <w:t xml:space="preserve">Zhang, Y., &amp; Wang, S. (2020). Stock market prediction by deep learning: A comparative study. </w:t>
      </w:r>
      <w:r w:rsidRPr="000D5A33">
        <w:rPr>
          <w:rFonts w:eastAsia="Times New Roman"/>
          <w:i/>
          <w:iCs/>
          <w:lang w:val="en-US"/>
        </w:rPr>
        <w:t>International Journal of Engineering and Technology, 12</w:t>
      </w:r>
      <w:r w:rsidRPr="000D5A33">
        <w:rPr>
          <w:rFonts w:eastAsia="Times New Roman"/>
          <w:lang w:val="en-US"/>
        </w:rPr>
        <w:t>(2), 28–34.</w:t>
      </w:r>
    </w:p>
    <w:p w:rsidR="004A0067" w:rsidRPr="001748AF" w:rsidRDefault="004A0067" w:rsidP="000D5A33">
      <w:pPr>
        <w:spacing w:line="276" w:lineRule="auto"/>
        <w:rPr>
          <w:color w:val="000000" w:themeColor="text1"/>
        </w:rPr>
      </w:pPr>
    </w:p>
    <w:sectPr w:rsidR="004A0067" w:rsidRPr="001748AF" w:rsidSect="000268F0">
      <w:type w:val="continuous"/>
      <w:pgSz w:w="11906" w:h="16838" w:code="9"/>
      <w:pgMar w:top="1440" w:right="1440" w:bottom="1440" w:left="1440" w:header="851" w:footer="567" w:gutter="0"/>
      <w:cols w:space="28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C96" w:rsidRDefault="005A6C96" w:rsidP="00A1414F">
      <w:r>
        <w:separator/>
      </w:r>
    </w:p>
  </w:endnote>
  <w:endnote w:type="continuationSeparator" w:id="0">
    <w:p w:rsidR="005A6C96" w:rsidRDefault="005A6C96"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C0B" w:rsidRDefault="00F22C0B" w:rsidP="000D5B9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C96" w:rsidRDefault="005A6C96" w:rsidP="00A1414F">
      <w:r>
        <w:separator/>
      </w:r>
    </w:p>
  </w:footnote>
  <w:footnote w:type="continuationSeparator" w:id="0">
    <w:p w:rsidR="005A6C96" w:rsidRDefault="005A6C96" w:rsidP="00A14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8FA" w:rsidRPr="00276AA9" w:rsidRDefault="00EC5A53" w:rsidP="00276AA9">
    <w:pPr>
      <w:jc w:val="both"/>
      <w:rPr>
        <w:rFonts w:ascii="Century Gothic" w:hAnsi="Century Gothic"/>
        <w:sz w:val="18"/>
        <w:szCs w:val="16"/>
      </w:rPr>
    </w:pPr>
    <w:r w:rsidRPr="0000069A">
      <w:rPr>
        <w:rFonts w:ascii="Century Gothic" w:hAnsi="Century Gothic"/>
        <w:smallCaps/>
        <w:sz w:val="20"/>
        <w:szCs w:val="20"/>
        <w:lang w:val="id-ID"/>
      </w:rPr>
      <w:fldChar w:fldCharType="begin"/>
    </w:r>
    <w:r w:rsidR="006079BE" w:rsidRPr="008168FA">
      <w:rPr>
        <w:rFonts w:ascii="Century Gothic" w:hAnsi="Century Gothic"/>
        <w:smallCaps/>
        <w:sz w:val="20"/>
        <w:szCs w:val="20"/>
        <w:lang w:val="id-ID"/>
      </w:rPr>
      <w:instrText xml:space="preserve"> PAGE   \* MERGEFORMAT </w:instrText>
    </w:r>
    <w:r w:rsidRPr="0000069A">
      <w:rPr>
        <w:rFonts w:ascii="Century Gothic" w:hAnsi="Century Gothic"/>
        <w:smallCaps/>
        <w:sz w:val="20"/>
        <w:szCs w:val="20"/>
        <w:lang w:val="id-ID"/>
      </w:rPr>
      <w:fldChar w:fldCharType="separate"/>
    </w:r>
    <w:r w:rsidR="00276AA9">
      <w:rPr>
        <w:rFonts w:ascii="Century Gothic" w:hAnsi="Century Gothic"/>
        <w:smallCaps/>
        <w:noProof/>
        <w:sz w:val="20"/>
        <w:szCs w:val="20"/>
        <w:lang w:val="id-ID"/>
      </w:rPr>
      <w:t>6</w:t>
    </w:r>
    <w:r w:rsidRPr="0000069A">
      <w:rPr>
        <w:rFonts w:ascii="Century Gothic" w:hAnsi="Century Gothic"/>
        <w:smallCaps/>
        <w:noProof/>
        <w:sz w:val="20"/>
        <w:szCs w:val="20"/>
        <w:lang w:val="id-ID"/>
      </w:rPr>
      <w:fldChar w:fldCharType="end"/>
    </w:r>
    <w:r w:rsidR="00131344" w:rsidRPr="0000069A">
      <w:rPr>
        <w:rFonts w:ascii="Century Gothic" w:hAnsi="Century Gothic"/>
        <w:smallCaps/>
        <w:noProof/>
        <w:sz w:val="20"/>
        <w:szCs w:val="20"/>
        <w:lang w:val="id-ID"/>
      </w:rPr>
      <w:t xml:space="preserve">  </w:t>
    </w:r>
    <w:r w:rsidR="00427112">
      <w:rPr>
        <w:rFonts w:ascii="Century Gothic" w:hAnsi="Century Gothic"/>
        <w:smallCaps/>
        <w:noProof/>
        <w:sz w:val="20"/>
        <w:szCs w:val="20"/>
        <w:lang w:val="en-US"/>
      </w:rPr>
      <w:t xml:space="preserve">| </w:t>
    </w:r>
    <w:r w:rsidR="005200C0" w:rsidRPr="005200C0">
      <w:rPr>
        <w:rFonts w:ascii="Century Gothic" w:hAnsi="Century Gothic"/>
        <w:b/>
        <w:sz w:val="16"/>
        <w:szCs w:val="16"/>
      </w:rPr>
      <w:t>Journal of Mathematics and Science Applications</w:t>
    </w:r>
    <w:r w:rsidR="0077568E" w:rsidRPr="005200C0">
      <w:rPr>
        <w:rFonts w:ascii="Century Gothic" w:hAnsi="Century Gothic"/>
        <w:b/>
        <w:sz w:val="16"/>
        <w:szCs w:val="16"/>
      </w:rPr>
      <w:t xml:space="preserve">| </w:t>
    </w:r>
    <w:r w:rsidR="00276AA9" w:rsidRPr="008118E5">
      <w:rPr>
        <w:rFonts w:ascii="Century Gothic" w:hAnsi="Century Gothic"/>
        <w:sz w:val="18"/>
        <w:szCs w:val="16"/>
      </w:rPr>
      <w:t>Vol.</w:t>
    </w:r>
    <w:r w:rsidR="00276AA9">
      <w:rPr>
        <w:rFonts w:ascii="Century Gothic" w:hAnsi="Century Gothic"/>
        <w:sz w:val="18"/>
        <w:szCs w:val="16"/>
      </w:rPr>
      <w:t xml:space="preserve"> 3</w:t>
    </w:r>
    <w:r w:rsidR="00276AA9" w:rsidRPr="008118E5">
      <w:rPr>
        <w:rFonts w:ascii="Century Gothic" w:hAnsi="Century Gothic"/>
        <w:sz w:val="18"/>
        <w:szCs w:val="16"/>
      </w:rPr>
      <w:t>, No.</w:t>
    </w:r>
    <w:r w:rsidR="00276AA9">
      <w:rPr>
        <w:rFonts w:ascii="Century Gothic" w:hAnsi="Century Gothic"/>
        <w:sz w:val="18"/>
        <w:szCs w:val="16"/>
      </w:rPr>
      <w:t xml:space="preserve"> 1</w:t>
    </w:r>
    <w:r w:rsidR="00276AA9" w:rsidRPr="008118E5">
      <w:rPr>
        <w:rFonts w:ascii="Century Gothic" w:hAnsi="Century Gothic"/>
        <w:sz w:val="18"/>
        <w:szCs w:val="16"/>
      </w:rPr>
      <w:t xml:space="preserve">, </w:t>
    </w:r>
    <w:r w:rsidR="00276AA9">
      <w:rPr>
        <w:rFonts w:ascii="Century Gothic" w:hAnsi="Century Gothic"/>
        <w:sz w:val="18"/>
        <w:szCs w:val="16"/>
      </w:rPr>
      <w:t>June 2025</w:t>
    </w:r>
    <w:r w:rsidR="00276AA9">
      <w:rPr>
        <w:rFonts w:ascii="Century Gothic" w:hAnsi="Century Gothic"/>
        <w:sz w:val="18"/>
        <w:szCs w:val="16"/>
      </w:rPr>
      <w:t xml:space="preserve">, </w:t>
    </w:r>
    <w:r w:rsidR="00276AA9" w:rsidRPr="00276AA9">
      <w:rPr>
        <w:rFonts w:ascii="Century Gothic" w:hAnsi="Century Gothic"/>
        <w:i/>
        <w:sz w:val="18"/>
        <w:szCs w:val="16"/>
      </w:rPr>
      <w:t>pp 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C9F" w:rsidRDefault="00E20C19" w:rsidP="00E20C19">
    <w:pPr>
      <w:pStyle w:val="Header"/>
      <w:jc w:val="right"/>
      <w:rPr>
        <w:noProof/>
        <w:sz w:val="20"/>
        <w:szCs w:val="20"/>
      </w:rPr>
    </w:pPr>
    <w:r w:rsidRPr="001A1D29">
      <w:rPr>
        <w:smallCaps/>
        <w:sz w:val="20"/>
        <w:szCs w:val="20"/>
        <w:lang w:val="id-ID"/>
      </w:rPr>
      <w:tab/>
    </w:r>
    <w:r w:rsidRPr="001A1D29">
      <w:rPr>
        <w:smallCaps/>
        <w:sz w:val="20"/>
        <w:szCs w:val="20"/>
        <w:lang w:val="id-ID"/>
      </w:rPr>
      <w:tab/>
    </w:r>
    <w:r w:rsidR="00276AA9">
      <w:rPr>
        <w:bCs/>
        <w:i/>
        <w:sz w:val="22"/>
        <w:szCs w:val="22"/>
        <w:lang w:val="en-IN" w:eastAsia="en-IN"/>
      </w:rPr>
      <w:t>Dhananjay, Time Series Forecasting</w:t>
    </w:r>
    <w:r w:rsidRPr="001A1D29">
      <w:rPr>
        <w:i/>
        <w:sz w:val="20"/>
        <w:szCs w:val="20"/>
        <w:lang w:val="id-ID"/>
      </w:rPr>
      <w:t>...</w:t>
    </w:r>
    <w:r w:rsidR="00397E48">
      <w:rPr>
        <w:i/>
        <w:sz w:val="20"/>
        <w:szCs w:val="20"/>
        <w:lang w:val="en-US"/>
      </w:rPr>
      <w:t xml:space="preserve">    </w:t>
    </w:r>
    <w:r w:rsidR="00EC5A53" w:rsidRPr="001A1D29">
      <w:rPr>
        <w:sz w:val="20"/>
        <w:szCs w:val="20"/>
      </w:rPr>
      <w:fldChar w:fldCharType="begin"/>
    </w:r>
    <w:r w:rsidR="00842B65" w:rsidRPr="001A1D29">
      <w:rPr>
        <w:sz w:val="20"/>
        <w:szCs w:val="20"/>
      </w:rPr>
      <w:instrText xml:space="preserve"> PAGE   \* MERGEFORMAT </w:instrText>
    </w:r>
    <w:r w:rsidR="00EC5A53" w:rsidRPr="001A1D29">
      <w:rPr>
        <w:sz w:val="20"/>
        <w:szCs w:val="20"/>
      </w:rPr>
      <w:fldChar w:fldCharType="separate"/>
    </w:r>
    <w:r w:rsidR="00276AA9">
      <w:rPr>
        <w:noProof/>
        <w:sz w:val="20"/>
        <w:szCs w:val="20"/>
      </w:rPr>
      <w:t>5</w:t>
    </w:r>
    <w:r w:rsidR="00EC5A53" w:rsidRPr="001A1D29">
      <w:rPr>
        <w:noProof/>
        <w:sz w:val="20"/>
        <w:szCs w:val="20"/>
      </w:rPr>
      <w:fldChar w:fldCharType="end"/>
    </w:r>
  </w:p>
  <w:p w:rsidR="00782C3F" w:rsidRDefault="00782C3F" w:rsidP="00E20C19">
    <w:pPr>
      <w:pStyle w:val="Header"/>
      <w:jc w:val="right"/>
      <w:rPr>
        <w:noProof/>
        <w:sz w:val="20"/>
        <w:szCs w:val="20"/>
      </w:rPr>
    </w:pPr>
  </w:p>
  <w:p w:rsidR="00427112" w:rsidRPr="001A1D29" w:rsidRDefault="00427112" w:rsidP="00E20C19">
    <w:pPr>
      <w:pStyle w:val="Header"/>
      <w:jc w:val="right"/>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618" w:rsidRDefault="00276AA9" w:rsidP="008168FA">
    <w:pPr>
      <w:pStyle w:val="Header"/>
      <w:tabs>
        <w:tab w:val="clear" w:pos="4680"/>
        <w:tab w:val="clear" w:pos="9360"/>
        <w:tab w:val="left" w:pos="2650"/>
      </w:tabs>
      <w:rPr>
        <w:noProof/>
        <w:lang w:val="en-US" w:eastAsia="en-US"/>
      </w:rPr>
    </w:pPr>
    <w:r>
      <w:rPr>
        <w:noProof/>
        <w:lang w:val="en-US" w:eastAsia="en-US"/>
      </w:rPr>
      <mc:AlternateContent>
        <mc:Choice Requires="wps">
          <w:drawing>
            <wp:anchor distT="0" distB="0" distL="114300" distR="114300" simplePos="0" relativeHeight="251657728" behindDoc="1" locked="0" layoutInCell="1" allowOverlap="1">
              <wp:simplePos x="0" y="0"/>
              <wp:positionH relativeFrom="column">
                <wp:posOffset>8890</wp:posOffset>
              </wp:positionH>
              <wp:positionV relativeFrom="paragraph">
                <wp:posOffset>-33655</wp:posOffset>
              </wp:positionV>
              <wp:extent cx="3747770" cy="560070"/>
              <wp:effectExtent l="0" t="0" r="24130" b="1143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7770" cy="560070"/>
                      </a:xfrm>
                      <a:prstGeom prst="rect">
                        <a:avLst/>
                      </a:prstGeom>
                      <a:solidFill>
                        <a:srgbClr val="FFFFFF">
                          <a:alpha val="0"/>
                        </a:srgbClr>
                      </a:solidFill>
                      <a:ln w="0">
                        <a:solidFill>
                          <a:schemeClr val="bg1">
                            <a:lumMod val="100000"/>
                            <a:lumOff val="0"/>
                          </a:schemeClr>
                        </a:solidFill>
                        <a:miter lim="800000"/>
                        <a:headEnd/>
                        <a:tailEnd/>
                      </a:ln>
                    </wps:spPr>
                    <wps:txbx>
                      <w:txbxContent>
                        <w:p w:rsidR="008168FA" w:rsidRPr="00B01181" w:rsidRDefault="005200C0" w:rsidP="008168FA">
                          <w:pPr>
                            <w:jc w:val="both"/>
                            <w:rPr>
                              <w:rFonts w:ascii="Century Gothic" w:hAnsi="Century Gothic"/>
                              <w:b/>
                            </w:rPr>
                          </w:pPr>
                          <w:r w:rsidRPr="005200C0">
                            <w:rPr>
                              <w:rFonts w:ascii="Century Gothic" w:hAnsi="Century Gothic"/>
                              <w:b/>
                              <w:sz w:val="18"/>
                              <w:szCs w:val="16"/>
                            </w:rPr>
                            <w:t xml:space="preserve">Journal of Mathematics and </w:t>
                          </w:r>
                          <w:r w:rsidR="00002F64">
                            <w:rPr>
                              <w:rFonts w:ascii="Century Gothic" w:hAnsi="Century Gothic"/>
                              <w:b/>
                              <w:sz w:val="18"/>
                              <w:szCs w:val="16"/>
                            </w:rPr>
                            <w:t xml:space="preserve">Applied </w:t>
                          </w:r>
                          <w:r w:rsidRPr="005200C0">
                            <w:rPr>
                              <w:rFonts w:ascii="Century Gothic" w:hAnsi="Century Gothic"/>
                              <w:b/>
                              <w:sz w:val="18"/>
                              <w:szCs w:val="16"/>
                            </w:rPr>
                            <w:t>S</w:t>
                          </w:r>
                          <w:r w:rsidR="00002F64">
                            <w:rPr>
                              <w:rFonts w:ascii="Century Gothic" w:hAnsi="Century Gothic"/>
                              <w:b/>
                              <w:sz w:val="18"/>
                              <w:szCs w:val="16"/>
                            </w:rPr>
                            <w:t>tatistics</w:t>
                          </w:r>
                        </w:p>
                        <w:p w:rsidR="008168FA" w:rsidRPr="008118E5" w:rsidRDefault="008168FA" w:rsidP="008168FA">
                          <w:pPr>
                            <w:jc w:val="both"/>
                            <w:rPr>
                              <w:rFonts w:ascii="Century" w:hAnsi="Century"/>
                              <w:sz w:val="2"/>
                              <w:szCs w:val="16"/>
                            </w:rPr>
                          </w:pPr>
                        </w:p>
                        <w:p w:rsidR="008168FA" w:rsidRDefault="008168FA" w:rsidP="008168FA">
                          <w:pPr>
                            <w:jc w:val="both"/>
                            <w:rPr>
                              <w:rFonts w:ascii="Century Gothic" w:hAnsi="Century Gothic"/>
                              <w:sz w:val="18"/>
                              <w:szCs w:val="16"/>
                            </w:rPr>
                          </w:pPr>
                          <w:r w:rsidRPr="008118E5">
                            <w:rPr>
                              <w:rFonts w:ascii="Century Gothic" w:hAnsi="Century Gothic"/>
                              <w:sz w:val="18"/>
                              <w:szCs w:val="16"/>
                            </w:rPr>
                            <w:t>Vol.</w:t>
                          </w:r>
                          <w:r>
                            <w:rPr>
                              <w:rFonts w:ascii="Century Gothic" w:hAnsi="Century Gothic"/>
                              <w:sz w:val="18"/>
                              <w:szCs w:val="16"/>
                            </w:rPr>
                            <w:t xml:space="preserve"> </w:t>
                          </w:r>
                          <w:r w:rsidR="00276AA9">
                            <w:rPr>
                              <w:rFonts w:ascii="Century Gothic" w:hAnsi="Century Gothic"/>
                              <w:sz w:val="18"/>
                              <w:szCs w:val="16"/>
                            </w:rPr>
                            <w:t>3</w:t>
                          </w:r>
                          <w:r w:rsidRPr="008118E5">
                            <w:rPr>
                              <w:rFonts w:ascii="Century Gothic" w:hAnsi="Century Gothic"/>
                              <w:sz w:val="18"/>
                              <w:szCs w:val="16"/>
                            </w:rPr>
                            <w:t>, No.</w:t>
                          </w:r>
                          <w:r>
                            <w:rPr>
                              <w:rFonts w:ascii="Century Gothic" w:hAnsi="Century Gothic"/>
                              <w:sz w:val="18"/>
                              <w:szCs w:val="16"/>
                            </w:rPr>
                            <w:t xml:space="preserve"> </w:t>
                          </w:r>
                          <w:r w:rsidR="00276AA9">
                            <w:rPr>
                              <w:rFonts w:ascii="Century Gothic" w:hAnsi="Century Gothic"/>
                              <w:sz w:val="18"/>
                              <w:szCs w:val="16"/>
                            </w:rPr>
                            <w:t>1</w:t>
                          </w:r>
                          <w:r w:rsidRPr="008118E5">
                            <w:rPr>
                              <w:rFonts w:ascii="Century Gothic" w:hAnsi="Century Gothic"/>
                              <w:sz w:val="18"/>
                              <w:szCs w:val="16"/>
                            </w:rPr>
                            <w:t xml:space="preserve">, </w:t>
                          </w:r>
                          <w:r w:rsidR="00276AA9">
                            <w:rPr>
                              <w:rFonts w:ascii="Century Gothic" w:hAnsi="Century Gothic"/>
                              <w:sz w:val="18"/>
                              <w:szCs w:val="16"/>
                            </w:rPr>
                            <w:t>June 2025</w:t>
                          </w:r>
                          <w:r w:rsidR="00580E6E">
                            <w:rPr>
                              <w:rFonts w:ascii="Century Gothic" w:hAnsi="Century Gothic"/>
                              <w:sz w:val="18"/>
                              <w:szCs w:val="16"/>
                            </w:rPr>
                            <w:t>.</w:t>
                          </w:r>
                        </w:p>
                        <w:p w:rsidR="009A0430" w:rsidRDefault="009A0430" w:rsidP="008168FA">
                          <w:pPr>
                            <w:jc w:val="both"/>
                            <w:rPr>
                              <w:rFonts w:ascii="Century Gothic" w:hAnsi="Century Gothic"/>
                              <w:sz w:val="18"/>
                              <w:szCs w:val="16"/>
                            </w:rPr>
                          </w:pPr>
                          <w:r>
                            <w:rPr>
                              <w:rFonts w:ascii="Century Gothic" w:hAnsi="Century Gothic"/>
                              <w:sz w:val="18"/>
                              <w:szCs w:val="16"/>
                            </w:rPr>
                            <w:t xml:space="preserve">DOI: </w:t>
                          </w:r>
                          <w:hyperlink r:id="rId1" w:history="1">
                            <w:r w:rsidRPr="004464C9">
                              <w:rPr>
                                <w:rStyle w:val="Hyperlink"/>
                                <w:rFonts w:ascii="Century Gothic" w:hAnsi="Century Gothic"/>
                                <w:sz w:val="18"/>
                                <w:szCs w:val="16"/>
                              </w:rPr>
                              <w:t>https://doi.org/10.35914/mathstat.xxxx.xxx</w:t>
                            </w:r>
                          </w:hyperlink>
                          <w:r>
                            <w:rPr>
                              <w:rFonts w:ascii="Century Gothic" w:hAnsi="Century Gothic"/>
                              <w:sz w:val="18"/>
                              <w:szCs w:val="16"/>
                            </w:rPr>
                            <w:t xml:space="preserve"> </w:t>
                          </w:r>
                          <w:r w:rsidRPr="009A0430">
                            <w:rPr>
                              <w:rFonts w:ascii="Century Gothic" w:hAnsi="Century Gothic"/>
                              <w:sz w:val="18"/>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7pt;margin-top:-2.65pt;width:295.1pt;height:4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" strokecolor="white [3212]" strokeweight="0">
              <v:fill opacity="0"/>
              <v:textbox>
                <w:txbxContent>
                  <w:p w:rsidR="008168FA" w:rsidRPr="00B01181" w:rsidRDefault="005200C0" w:rsidP="008168FA">
                    <w:pPr>
                      <w:jc w:val="both"/>
                      <w:rPr>
                        <w:rFonts w:ascii="Century Gothic" w:hAnsi="Century Gothic"/>
                        <w:b/>
                      </w:rPr>
                    </w:pPr>
                    <w:r w:rsidRPr="005200C0">
                      <w:rPr>
                        <w:rFonts w:ascii="Century Gothic" w:hAnsi="Century Gothic"/>
                        <w:b/>
                        <w:sz w:val="18"/>
                        <w:szCs w:val="16"/>
                      </w:rPr>
                      <w:t xml:space="preserve">Journal of Mathematics and </w:t>
                    </w:r>
                    <w:r w:rsidR="00002F64">
                      <w:rPr>
                        <w:rFonts w:ascii="Century Gothic" w:hAnsi="Century Gothic"/>
                        <w:b/>
                        <w:sz w:val="18"/>
                        <w:szCs w:val="16"/>
                      </w:rPr>
                      <w:t xml:space="preserve">Applied </w:t>
                    </w:r>
                    <w:r w:rsidRPr="005200C0">
                      <w:rPr>
                        <w:rFonts w:ascii="Century Gothic" w:hAnsi="Century Gothic"/>
                        <w:b/>
                        <w:sz w:val="18"/>
                        <w:szCs w:val="16"/>
                      </w:rPr>
                      <w:t>S</w:t>
                    </w:r>
                    <w:r w:rsidR="00002F64">
                      <w:rPr>
                        <w:rFonts w:ascii="Century Gothic" w:hAnsi="Century Gothic"/>
                        <w:b/>
                        <w:sz w:val="18"/>
                        <w:szCs w:val="16"/>
                      </w:rPr>
                      <w:t>tatistics</w:t>
                    </w:r>
                  </w:p>
                  <w:p w:rsidR="008168FA" w:rsidRPr="008118E5" w:rsidRDefault="008168FA" w:rsidP="008168FA">
                    <w:pPr>
                      <w:jc w:val="both"/>
                      <w:rPr>
                        <w:rFonts w:ascii="Century" w:hAnsi="Century"/>
                        <w:sz w:val="2"/>
                        <w:szCs w:val="16"/>
                      </w:rPr>
                    </w:pPr>
                  </w:p>
                  <w:p w:rsidR="008168FA" w:rsidRDefault="008168FA" w:rsidP="008168FA">
                    <w:pPr>
                      <w:jc w:val="both"/>
                      <w:rPr>
                        <w:rFonts w:ascii="Century Gothic" w:hAnsi="Century Gothic"/>
                        <w:sz w:val="18"/>
                        <w:szCs w:val="16"/>
                      </w:rPr>
                    </w:pPr>
                    <w:r w:rsidRPr="008118E5">
                      <w:rPr>
                        <w:rFonts w:ascii="Century Gothic" w:hAnsi="Century Gothic"/>
                        <w:sz w:val="18"/>
                        <w:szCs w:val="16"/>
                      </w:rPr>
                      <w:t>Vol.</w:t>
                    </w:r>
                    <w:r>
                      <w:rPr>
                        <w:rFonts w:ascii="Century Gothic" w:hAnsi="Century Gothic"/>
                        <w:sz w:val="18"/>
                        <w:szCs w:val="16"/>
                      </w:rPr>
                      <w:t xml:space="preserve"> </w:t>
                    </w:r>
                    <w:r w:rsidR="00276AA9">
                      <w:rPr>
                        <w:rFonts w:ascii="Century Gothic" w:hAnsi="Century Gothic"/>
                        <w:sz w:val="18"/>
                        <w:szCs w:val="16"/>
                      </w:rPr>
                      <w:t>3</w:t>
                    </w:r>
                    <w:r w:rsidRPr="008118E5">
                      <w:rPr>
                        <w:rFonts w:ascii="Century Gothic" w:hAnsi="Century Gothic"/>
                        <w:sz w:val="18"/>
                        <w:szCs w:val="16"/>
                      </w:rPr>
                      <w:t>, No.</w:t>
                    </w:r>
                    <w:r>
                      <w:rPr>
                        <w:rFonts w:ascii="Century Gothic" w:hAnsi="Century Gothic"/>
                        <w:sz w:val="18"/>
                        <w:szCs w:val="16"/>
                      </w:rPr>
                      <w:t xml:space="preserve"> </w:t>
                    </w:r>
                    <w:r w:rsidR="00276AA9">
                      <w:rPr>
                        <w:rFonts w:ascii="Century Gothic" w:hAnsi="Century Gothic"/>
                        <w:sz w:val="18"/>
                        <w:szCs w:val="16"/>
                      </w:rPr>
                      <w:t>1</w:t>
                    </w:r>
                    <w:r w:rsidRPr="008118E5">
                      <w:rPr>
                        <w:rFonts w:ascii="Century Gothic" w:hAnsi="Century Gothic"/>
                        <w:sz w:val="18"/>
                        <w:szCs w:val="16"/>
                      </w:rPr>
                      <w:t xml:space="preserve">, </w:t>
                    </w:r>
                    <w:r w:rsidR="00276AA9">
                      <w:rPr>
                        <w:rFonts w:ascii="Century Gothic" w:hAnsi="Century Gothic"/>
                        <w:sz w:val="18"/>
                        <w:szCs w:val="16"/>
                      </w:rPr>
                      <w:t>June 2025</w:t>
                    </w:r>
                    <w:r w:rsidR="00580E6E">
                      <w:rPr>
                        <w:rFonts w:ascii="Century Gothic" w:hAnsi="Century Gothic"/>
                        <w:sz w:val="18"/>
                        <w:szCs w:val="16"/>
                      </w:rPr>
                      <w:t>.</w:t>
                    </w:r>
                  </w:p>
                  <w:p w:rsidR="009A0430" w:rsidRDefault="009A0430" w:rsidP="008168FA">
                    <w:pPr>
                      <w:jc w:val="both"/>
                      <w:rPr>
                        <w:rFonts w:ascii="Century Gothic" w:hAnsi="Century Gothic"/>
                        <w:sz w:val="18"/>
                        <w:szCs w:val="16"/>
                      </w:rPr>
                    </w:pPr>
                    <w:r>
                      <w:rPr>
                        <w:rFonts w:ascii="Century Gothic" w:hAnsi="Century Gothic"/>
                        <w:sz w:val="18"/>
                        <w:szCs w:val="16"/>
                      </w:rPr>
                      <w:t xml:space="preserve">DOI: </w:t>
                    </w:r>
                    <w:hyperlink r:id="rId2" w:history="1">
                      <w:r w:rsidRPr="004464C9">
                        <w:rPr>
                          <w:rStyle w:val="Hyperlink"/>
                          <w:rFonts w:ascii="Century Gothic" w:hAnsi="Century Gothic"/>
                          <w:sz w:val="18"/>
                          <w:szCs w:val="16"/>
                        </w:rPr>
                        <w:t>https://doi.org/10.35914/mathstat.xxxx.xxx</w:t>
                      </w:r>
                    </w:hyperlink>
                    <w:r>
                      <w:rPr>
                        <w:rFonts w:ascii="Century Gothic" w:hAnsi="Century Gothic"/>
                        <w:sz w:val="18"/>
                        <w:szCs w:val="16"/>
                      </w:rPr>
                      <w:t xml:space="preserve"> </w:t>
                    </w:r>
                    <w:r w:rsidRPr="009A0430">
                      <w:rPr>
                        <w:rFonts w:ascii="Century Gothic" w:hAnsi="Century Gothic"/>
                        <w:sz w:val="18"/>
                        <w:szCs w:val="16"/>
                      </w:rPr>
                      <w:t xml:space="preserve">   </w:t>
                    </w:r>
                  </w:p>
                </w:txbxContent>
              </v:textbox>
            </v:shape>
          </w:pict>
        </mc:Fallback>
      </mc:AlternateContent>
    </w:r>
  </w:p>
  <w:p w:rsidR="00580E6E" w:rsidRDefault="00580E6E" w:rsidP="008168FA">
    <w:pPr>
      <w:pStyle w:val="Header"/>
      <w:tabs>
        <w:tab w:val="clear" w:pos="4680"/>
        <w:tab w:val="clear" w:pos="9360"/>
        <w:tab w:val="left" w:pos="2650"/>
      </w:tabs>
      <w:rPr>
        <w:noProof/>
        <w:lang w:val="en-US" w:eastAsia="en-US"/>
      </w:rPr>
    </w:pPr>
  </w:p>
  <w:p w:rsidR="00580E6E" w:rsidRPr="008168FA" w:rsidRDefault="00580E6E" w:rsidP="008168FA">
    <w:pPr>
      <w:pStyle w:val="Header"/>
      <w:tabs>
        <w:tab w:val="clear" w:pos="4680"/>
        <w:tab w:val="clear" w:pos="9360"/>
        <w:tab w:val="left" w:pos="265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9C86A5B"/>
    <w:multiLevelType w:val="multilevel"/>
    <w:tmpl w:val="F2A8A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050307"/>
    <w:multiLevelType w:val="multilevel"/>
    <w:tmpl w:val="BC162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E46C44"/>
    <w:multiLevelType w:val="hybridMultilevel"/>
    <w:tmpl w:val="9A46E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ED2A2E"/>
    <w:multiLevelType w:val="multilevel"/>
    <w:tmpl w:val="DDD2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7524C2"/>
    <w:multiLevelType w:val="multilevel"/>
    <w:tmpl w:val="ACBC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7">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328273D7"/>
    <w:multiLevelType w:val="multilevel"/>
    <w:tmpl w:val="9C8E938C"/>
    <w:numStyleLink w:val="IEEEBullet1"/>
  </w:abstractNum>
  <w:abstractNum w:abstractNumId="9">
    <w:nsid w:val="3AE82645"/>
    <w:multiLevelType w:val="hybridMultilevel"/>
    <w:tmpl w:val="FF8AEB7C"/>
    <w:lvl w:ilvl="0" w:tplc="B0D696AA">
      <w:start w:val="1"/>
      <w:numFmt w:val="upp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55E464B3"/>
    <w:multiLevelType w:val="multilevel"/>
    <w:tmpl w:val="F2EA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4">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5">
    <w:nsid w:val="6F23703A"/>
    <w:multiLevelType w:val="hybridMultilevel"/>
    <w:tmpl w:val="EE18B65A"/>
    <w:lvl w:ilvl="0" w:tplc="0C0C6762">
      <w:start w:val="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17">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num w:numId="1">
    <w:abstractNumId w:val="11"/>
  </w:num>
  <w:num w:numId="2">
    <w:abstractNumId w:val="13"/>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8"/>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360"/>
          </w:tabs>
          <w:ind w:left="360" w:hanging="360"/>
        </w:pPr>
        <w:rPr>
          <w:rFonts w:hint="default"/>
          <w:b/>
          <w:sz w:val="21"/>
          <w:szCs w:val="21"/>
        </w:rPr>
      </w:lvl>
    </w:lvlOverride>
    <w:lvlOverride w:ilvl="4">
      <w:lvl w:ilvl="4">
        <w:start w:val="1"/>
        <w:numFmt w:val="lowerLetter"/>
        <w:lvlText w:val="%5."/>
        <w:lvlJc w:val="left"/>
        <w:pPr>
          <w:tabs>
            <w:tab w:val="num" w:pos="786"/>
          </w:tabs>
          <w:ind w:left="786" w:hanging="360"/>
        </w:pPr>
        <w:rPr>
          <w:rFonts w:asciiTheme="majorHAnsi" w:hAnsiTheme="majorHAnsi" w:hint="default"/>
          <w:sz w:val="21"/>
          <w:szCs w:val="21"/>
        </w:rPr>
      </w:lvl>
    </w:lvlOverride>
  </w:num>
  <w:num w:numId="7">
    <w:abstractNumId w:val="0"/>
  </w:num>
  <w:num w:numId="8">
    <w:abstractNumId w:val="6"/>
  </w:num>
  <w:num w:numId="9">
    <w:abstractNumId w:val="17"/>
  </w:num>
  <w:num w:numId="10">
    <w:abstractNumId w:val="7"/>
  </w:num>
  <w:num w:numId="11">
    <w:abstractNumId w:val="9"/>
  </w:num>
  <w:num w:numId="12">
    <w:abstractNumId w:val="14"/>
    <w:lvlOverride w:ilvl="0">
      <w:startOverride w:val="1"/>
    </w:lvlOverride>
  </w:num>
  <w:num w:numId="13">
    <w:abstractNumId w:val="0"/>
  </w:num>
  <w:num w:numId="14">
    <w:abstractNumId w:val="15"/>
  </w:num>
  <w:num w:numId="15">
    <w:abstractNumId w:val="4"/>
  </w:num>
  <w:num w:numId="16">
    <w:abstractNumId w:val="2"/>
  </w:num>
  <w:num w:numId="17">
    <w:abstractNumId w:val="1"/>
  </w:num>
  <w:num w:numId="18">
    <w:abstractNumId w:val="12"/>
  </w:num>
  <w:num w:numId="19">
    <w:abstractNumId w:val="5"/>
  </w:num>
  <w:num w:numId="20">
    <w:abstractNumId w:val="16"/>
  </w:num>
  <w:num w:numId="2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s-ES" w:vendorID="64" w:dllVersion="4096" w:nlCheck="1" w:checkStyle="0"/>
  <w:activeWritingStyle w:appName="MSWord" w:lang="en-IN" w:vendorID="64" w:dllVersion="4096" w:nlCheck="1" w:checkStyle="0"/>
  <w:activeWritingStyle w:appName="MSWord" w:lang="en-AU" w:vendorID="64" w:dllVersion="131078" w:nlCheck="1" w:checkStyle="1"/>
  <w:activeWritingStyle w:appName="MSWord" w:lang="en-US" w:vendorID="64" w:dllVersion="131078" w:nlCheck="1" w:checkStyle="1"/>
  <w:activeWritingStyle w:appName="MSWord" w:lang="en-IN"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FBB"/>
    <w:rsid w:val="000002E1"/>
    <w:rsid w:val="0000069A"/>
    <w:rsid w:val="00002AE5"/>
    <w:rsid w:val="00002F64"/>
    <w:rsid w:val="000069C7"/>
    <w:rsid w:val="00010C63"/>
    <w:rsid w:val="00010EDF"/>
    <w:rsid w:val="00017719"/>
    <w:rsid w:val="00020A6F"/>
    <w:rsid w:val="000227C5"/>
    <w:rsid w:val="000268F0"/>
    <w:rsid w:val="00027F1D"/>
    <w:rsid w:val="0003296C"/>
    <w:rsid w:val="00032C6E"/>
    <w:rsid w:val="00033553"/>
    <w:rsid w:val="0004578F"/>
    <w:rsid w:val="00053481"/>
    <w:rsid w:val="00054421"/>
    <w:rsid w:val="00056CE7"/>
    <w:rsid w:val="00062122"/>
    <w:rsid w:val="00062E46"/>
    <w:rsid w:val="00066CB7"/>
    <w:rsid w:val="0006703C"/>
    <w:rsid w:val="00074AC8"/>
    <w:rsid w:val="00081408"/>
    <w:rsid w:val="00081EBE"/>
    <w:rsid w:val="00082A45"/>
    <w:rsid w:val="0008577D"/>
    <w:rsid w:val="00086EDC"/>
    <w:rsid w:val="00093581"/>
    <w:rsid w:val="000A6695"/>
    <w:rsid w:val="000B36A3"/>
    <w:rsid w:val="000B4A2C"/>
    <w:rsid w:val="000C013C"/>
    <w:rsid w:val="000D4841"/>
    <w:rsid w:val="000D5A33"/>
    <w:rsid w:val="000D5B9A"/>
    <w:rsid w:val="000D67E4"/>
    <w:rsid w:val="000E1EA3"/>
    <w:rsid w:val="000E3F84"/>
    <w:rsid w:val="000E478F"/>
    <w:rsid w:val="000E4F95"/>
    <w:rsid w:val="00103C8B"/>
    <w:rsid w:val="00103E04"/>
    <w:rsid w:val="00104C9F"/>
    <w:rsid w:val="001056DF"/>
    <w:rsid w:val="00114025"/>
    <w:rsid w:val="00115691"/>
    <w:rsid w:val="001160D2"/>
    <w:rsid w:val="001218D3"/>
    <w:rsid w:val="00125158"/>
    <w:rsid w:val="00131344"/>
    <w:rsid w:val="001348A5"/>
    <w:rsid w:val="0013730E"/>
    <w:rsid w:val="00140C4C"/>
    <w:rsid w:val="00140FB9"/>
    <w:rsid w:val="00146992"/>
    <w:rsid w:val="0015135B"/>
    <w:rsid w:val="00151B8E"/>
    <w:rsid w:val="0015356D"/>
    <w:rsid w:val="00153C49"/>
    <w:rsid w:val="001747C8"/>
    <w:rsid w:val="001748AF"/>
    <w:rsid w:val="00177ADC"/>
    <w:rsid w:val="00182CE2"/>
    <w:rsid w:val="001928FB"/>
    <w:rsid w:val="00192BC7"/>
    <w:rsid w:val="001A1D29"/>
    <w:rsid w:val="001A50EA"/>
    <w:rsid w:val="001A6E68"/>
    <w:rsid w:val="001B52EF"/>
    <w:rsid w:val="001C0608"/>
    <w:rsid w:val="001D04EB"/>
    <w:rsid w:val="001D34BD"/>
    <w:rsid w:val="001F16CD"/>
    <w:rsid w:val="001F47D2"/>
    <w:rsid w:val="00201427"/>
    <w:rsid w:val="00202141"/>
    <w:rsid w:val="002202B7"/>
    <w:rsid w:val="0022285A"/>
    <w:rsid w:val="00224C61"/>
    <w:rsid w:val="00226AB3"/>
    <w:rsid w:val="00230E61"/>
    <w:rsid w:val="0025798B"/>
    <w:rsid w:val="0026094F"/>
    <w:rsid w:val="00271242"/>
    <w:rsid w:val="002718C7"/>
    <w:rsid w:val="0027227B"/>
    <w:rsid w:val="0027288E"/>
    <w:rsid w:val="00273AC7"/>
    <w:rsid w:val="00273D2C"/>
    <w:rsid w:val="00275BFA"/>
    <w:rsid w:val="00276AA9"/>
    <w:rsid w:val="00285ECD"/>
    <w:rsid w:val="0028667D"/>
    <w:rsid w:val="00290E1B"/>
    <w:rsid w:val="00291B17"/>
    <w:rsid w:val="00292EFC"/>
    <w:rsid w:val="002A2FD6"/>
    <w:rsid w:val="002A6742"/>
    <w:rsid w:val="002A73DB"/>
    <w:rsid w:val="002B09BC"/>
    <w:rsid w:val="002C1A7F"/>
    <w:rsid w:val="002C270E"/>
    <w:rsid w:val="002C4239"/>
    <w:rsid w:val="002C559D"/>
    <w:rsid w:val="002C67F8"/>
    <w:rsid w:val="002D1679"/>
    <w:rsid w:val="002D2D42"/>
    <w:rsid w:val="002D3DAA"/>
    <w:rsid w:val="002D68C9"/>
    <w:rsid w:val="002D7E4D"/>
    <w:rsid w:val="002F15EA"/>
    <w:rsid w:val="002F72D0"/>
    <w:rsid w:val="003003AB"/>
    <w:rsid w:val="00303687"/>
    <w:rsid w:val="00303AFA"/>
    <w:rsid w:val="00310DCB"/>
    <w:rsid w:val="00311C49"/>
    <w:rsid w:val="0031279E"/>
    <w:rsid w:val="0032119E"/>
    <w:rsid w:val="00321304"/>
    <w:rsid w:val="003303CD"/>
    <w:rsid w:val="00331F84"/>
    <w:rsid w:val="00332DF2"/>
    <w:rsid w:val="00332EA4"/>
    <w:rsid w:val="003366F9"/>
    <w:rsid w:val="00352E69"/>
    <w:rsid w:val="00353F69"/>
    <w:rsid w:val="00355B72"/>
    <w:rsid w:val="00360589"/>
    <w:rsid w:val="00360C6A"/>
    <w:rsid w:val="00360D09"/>
    <w:rsid w:val="00366B29"/>
    <w:rsid w:val="003717D0"/>
    <w:rsid w:val="00382E62"/>
    <w:rsid w:val="00384A71"/>
    <w:rsid w:val="00394DC4"/>
    <w:rsid w:val="003950A4"/>
    <w:rsid w:val="00397E48"/>
    <w:rsid w:val="003A496F"/>
    <w:rsid w:val="003B2523"/>
    <w:rsid w:val="003C2005"/>
    <w:rsid w:val="003C3E37"/>
    <w:rsid w:val="003C7209"/>
    <w:rsid w:val="003D138F"/>
    <w:rsid w:val="003D3E2E"/>
    <w:rsid w:val="003D4C64"/>
    <w:rsid w:val="003D74B8"/>
    <w:rsid w:val="003E3577"/>
    <w:rsid w:val="003E6E5F"/>
    <w:rsid w:val="003F3A61"/>
    <w:rsid w:val="00400DC7"/>
    <w:rsid w:val="00403498"/>
    <w:rsid w:val="00410A5D"/>
    <w:rsid w:val="00414909"/>
    <w:rsid w:val="004202C3"/>
    <w:rsid w:val="004211FE"/>
    <w:rsid w:val="004216B1"/>
    <w:rsid w:val="00425A6A"/>
    <w:rsid w:val="00426FBB"/>
    <w:rsid w:val="00427112"/>
    <w:rsid w:val="004337B8"/>
    <w:rsid w:val="00434C30"/>
    <w:rsid w:val="0043798F"/>
    <w:rsid w:val="00437CE1"/>
    <w:rsid w:val="00437E30"/>
    <w:rsid w:val="00437E48"/>
    <w:rsid w:val="0044773F"/>
    <w:rsid w:val="0046428B"/>
    <w:rsid w:val="00471085"/>
    <w:rsid w:val="0047429A"/>
    <w:rsid w:val="004772BF"/>
    <w:rsid w:val="004778A8"/>
    <w:rsid w:val="0048374C"/>
    <w:rsid w:val="0048707A"/>
    <w:rsid w:val="0048771D"/>
    <w:rsid w:val="00497DA7"/>
    <w:rsid w:val="004A0067"/>
    <w:rsid w:val="004A1511"/>
    <w:rsid w:val="004A6605"/>
    <w:rsid w:val="004B0DB7"/>
    <w:rsid w:val="004B4E9E"/>
    <w:rsid w:val="004B519F"/>
    <w:rsid w:val="004B5BFE"/>
    <w:rsid w:val="004B7F34"/>
    <w:rsid w:val="004C4227"/>
    <w:rsid w:val="004C45FA"/>
    <w:rsid w:val="004C4D2E"/>
    <w:rsid w:val="004D395E"/>
    <w:rsid w:val="004D6A8C"/>
    <w:rsid w:val="004D6BC3"/>
    <w:rsid w:val="004D7355"/>
    <w:rsid w:val="004D78F2"/>
    <w:rsid w:val="004E1BD8"/>
    <w:rsid w:val="004E452A"/>
    <w:rsid w:val="004E4FE6"/>
    <w:rsid w:val="004E78E3"/>
    <w:rsid w:val="004F5EA9"/>
    <w:rsid w:val="005004BF"/>
    <w:rsid w:val="00502E89"/>
    <w:rsid w:val="00504748"/>
    <w:rsid w:val="00505FE2"/>
    <w:rsid w:val="0051095A"/>
    <w:rsid w:val="00510E95"/>
    <w:rsid w:val="0051451F"/>
    <w:rsid w:val="00515557"/>
    <w:rsid w:val="005200C0"/>
    <w:rsid w:val="00521ED0"/>
    <w:rsid w:val="00522D23"/>
    <w:rsid w:val="00524694"/>
    <w:rsid w:val="00527D56"/>
    <w:rsid w:val="0053012F"/>
    <w:rsid w:val="00530A0F"/>
    <w:rsid w:val="0053221F"/>
    <w:rsid w:val="00536FAE"/>
    <w:rsid w:val="0054252A"/>
    <w:rsid w:val="00542C85"/>
    <w:rsid w:val="00553510"/>
    <w:rsid w:val="00554186"/>
    <w:rsid w:val="005628CD"/>
    <w:rsid w:val="00564397"/>
    <w:rsid w:val="0056697B"/>
    <w:rsid w:val="00580E6E"/>
    <w:rsid w:val="005818EA"/>
    <w:rsid w:val="00585769"/>
    <w:rsid w:val="00591130"/>
    <w:rsid w:val="00591DB6"/>
    <w:rsid w:val="005A3F28"/>
    <w:rsid w:val="005A40BE"/>
    <w:rsid w:val="005A6C96"/>
    <w:rsid w:val="005A7F4E"/>
    <w:rsid w:val="005B13E2"/>
    <w:rsid w:val="005B3934"/>
    <w:rsid w:val="005B47D7"/>
    <w:rsid w:val="005C4BA9"/>
    <w:rsid w:val="005C5526"/>
    <w:rsid w:val="005C62C6"/>
    <w:rsid w:val="005D21E9"/>
    <w:rsid w:val="005D7B9E"/>
    <w:rsid w:val="005F0834"/>
    <w:rsid w:val="005F4A93"/>
    <w:rsid w:val="005F6DC3"/>
    <w:rsid w:val="006017FD"/>
    <w:rsid w:val="00601A8E"/>
    <w:rsid w:val="00602488"/>
    <w:rsid w:val="00606C4F"/>
    <w:rsid w:val="006079BE"/>
    <w:rsid w:val="0062033E"/>
    <w:rsid w:val="00624482"/>
    <w:rsid w:val="00630921"/>
    <w:rsid w:val="00633178"/>
    <w:rsid w:val="006343E3"/>
    <w:rsid w:val="0063726A"/>
    <w:rsid w:val="006411AE"/>
    <w:rsid w:val="00643796"/>
    <w:rsid w:val="0064799C"/>
    <w:rsid w:val="006516CB"/>
    <w:rsid w:val="00654156"/>
    <w:rsid w:val="00657AE5"/>
    <w:rsid w:val="00666AA3"/>
    <w:rsid w:val="00683A5B"/>
    <w:rsid w:val="00694D34"/>
    <w:rsid w:val="00695864"/>
    <w:rsid w:val="006977E6"/>
    <w:rsid w:val="006A3AE1"/>
    <w:rsid w:val="006A4145"/>
    <w:rsid w:val="006B09B8"/>
    <w:rsid w:val="006B47CA"/>
    <w:rsid w:val="006C0755"/>
    <w:rsid w:val="006C7AAA"/>
    <w:rsid w:val="006D1C2A"/>
    <w:rsid w:val="006D264F"/>
    <w:rsid w:val="006D3F45"/>
    <w:rsid w:val="006E2A8D"/>
    <w:rsid w:val="006E3151"/>
    <w:rsid w:val="006E35C8"/>
    <w:rsid w:val="006E4AB3"/>
    <w:rsid w:val="006E6B57"/>
    <w:rsid w:val="006E7574"/>
    <w:rsid w:val="006F4323"/>
    <w:rsid w:val="00701D28"/>
    <w:rsid w:val="00703430"/>
    <w:rsid w:val="007069BE"/>
    <w:rsid w:val="00707835"/>
    <w:rsid w:val="00711BD2"/>
    <w:rsid w:val="00711FEB"/>
    <w:rsid w:val="00721E2E"/>
    <w:rsid w:val="007227F5"/>
    <w:rsid w:val="00724B17"/>
    <w:rsid w:val="0072566E"/>
    <w:rsid w:val="00733156"/>
    <w:rsid w:val="00733E74"/>
    <w:rsid w:val="0074085C"/>
    <w:rsid w:val="00745C86"/>
    <w:rsid w:val="00764603"/>
    <w:rsid w:val="0076604D"/>
    <w:rsid w:val="0077568E"/>
    <w:rsid w:val="00781DBA"/>
    <w:rsid w:val="00782C3F"/>
    <w:rsid w:val="00784428"/>
    <w:rsid w:val="007855B5"/>
    <w:rsid w:val="0078621C"/>
    <w:rsid w:val="00790909"/>
    <w:rsid w:val="0079301B"/>
    <w:rsid w:val="007A77C6"/>
    <w:rsid w:val="007B34E6"/>
    <w:rsid w:val="007B5A07"/>
    <w:rsid w:val="007B668E"/>
    <w:rsid w:val="007C7D51"/>
    <w:rsid w:val="007D3E71"/>
    <w:rsid w:val="007D750A"/>
    <w:rsid w:val="007E132A"/>
    <w:rsid w:val="007E34AA"/>
    <w:rsid w:val="007E5D6A"/>
    <w:rsid w:val="007E645D"/>
    <w:rsid w:val="007F7260"/>
    <w:rsid w:val="007F75CA"/>
    <w:rsid w:val="008045CB"/>
    <w:rsid w:val="00815DBA"/>
    <w:rsid w:val="008168FA"/>
    <w:rsid w:val="00816EA9"/>
    <w:rsid w:val="00820A91"/>
    <w:rsid w:val="00821E08"/>
    <w:rsid w:val="008230F3"/>
    <w:rsid w:val="00825A13"/>
    <w:rsid w:val="00834154"/>
    <w:rsid w:val="00834EFD"/>
    <w:rsid w:val="00841914"/>
    <w:rsid w:val="00842567"/>
    <w:rsid w:val="00842B65"/>
    <w:rsid w:val="00844B24"/>
    <w:rsid w:val="00844FAE"/>
    <w:rsid w:val="0084515F"/>
    <w:rsid w:val="0085092D"/>
    <w:rsid w:val="00865FB3"/>
    <w:rsid w:val="00873013"/>
    <w:rsid w:val="008746C3"/>
    <w:rsid w:val="00874B3E"/>
    <w:rsid w:val="008757E0"/>
    <w:rsid w:val="00877D4C"/>
    <w:rsid w:val="0089763B"/>
    <w:rsid w:val="008A0B0A"/>
    <w:rsid w:val="008A1519"/>
    <w:rsid w:val="008A2479"/>
    <w:rsid w:val="008B114A"/>
    <w:rsid w:val="008B6295"/>
    <w:rsid w:val="008B6AE3"/>
    <w:rsid w:val="008D1045"/>
    <w:rsid w:val="008E0EBD"/>
    <w:rsid w:val="008E2316"/>
    <w:rsid w:val="008E5277"/>
    <w:rsid w:val="008E5996"/>
    <w:rsid w:val="008F1272"/>
    <w:rsid w:val="00901AE1"/>
    <w:rsid w:val="00901EFD"/>
    <w:rsid w:val="00904754"/>
    <w:rsid w:val="00905356"/>
    <w:rsid w:val="00914E29"/>
    <w:rsid w:val="009205B4"/>
    <w:rsid w:val="009223D5"/>
    <w:rsid w:val="00922923"/>
    <w:rsid w:val="009324AF"/>
    <w:rsid w:val="00932F60"/>
    <w:rsid w:val="00937F31"/>
    <w:rsid w:val="009408BA"/>
    <w:rsid w:val="00946DC6"/>
    <w:rsid w:val="009507C0"/>
    <w:rsid w:val="009537A7"/>
    <w:rsid w:val="009550E8"/>
    <w:rsid w:val="00955B59"/>
    <w:rsid w:val="009570BE"/>
    <w:rsid w:val="00962C93"/>
    <w:rsid w:val="00962FAF"/>
    <w:rsid w:val="009671E5"/>
    <w:rsid w:val="00971BB3"/>
    <w:rsid w:val="00971EBF"/>
    <w:rsid w:val="00977D12"/>
    <w:rsid w:val="00985DB4"/>
    <w:rsid w:val="00991EED"/>
    <w:rsid w:val="00992262"/>
    <w:rsid w:val="009926BC"/>
    <w:rsid w:val="00993DEB"/>
    <w:rsid w:val="00997F50"/>
    <w:rsid w:val="009A0430"/>
    <w:rsid w:val="009A09C7"/>
    <w:rsid w:val="009A4319"/>
    <w:rsid w:val="009A6C3F"/>
    <w:rsid w:val="009A6E9C"/>
    <w:rsid w:val="009B0A53"/>
    <w:rsid w:val="009B73F2"/>
    <w:rsid w:val="009C12BD"/>
    <w:rsid w:val="009C30E3"/>
    <w:rsid w:val="009C50FE"/>
    <w:rsid w:val="009D2660"/>
    <w:rsid w:val="009D34EA"/>
    <w:rsid w:val="009D3C51"/>
    <w:rsid w:val="00A03A12"/>
    <w:rsid w:val="00A03E75"/>
    <w:rsid w:val="00A04DC8"/>
    <w:rsid w:val="00A053E1"/>
    <w:rsid w:val="00A06680"/>
    <w:rsid w:val="00A11080"/>
    <w:rsid w:val="00A12127"/>
    <w:rsid w:val="00A1414F"/>
    <w:rsid w:val="00A20D66"/>
    <w:rsid w:val="00A22FE0"/>
    <w:rsid w:val="00A23F1C"/>
    <w:rsid w:val="00A261C6"/>
    <w:rsid w:val="00A37654"/>
    <w:rsid w:val="00A4337B"/>
    <w:rsid w:val="00A45FCE"/>
    <w:rsid w:val="00A64A36"/>
    <w:rsid w:val="00A7266B"/>
    <w:rsid w:val="00A75671"/>
    <w:rsid w:val="00A773CC"/>
    <w:rsid w:val="00A87305"/>
    <w:rsid w:val="00A9318B"/>
    <w:rsid w:val="00A94AC1"/>
    <w:rsid w:val="00A95B87"/>
    <w:rsid w:val="00A9735F"/>
    <w:rsid w:val="00AA5A8D"/>
    <w:rsid w:val="00AA5E69"/>
    <w:rsid w:val="00AB18B7"/>
    <w:rsid w:val="00AB2575"/>
    <w:rsid w:val="00AC157F"/>
    <w:rsid w:val="00AD1A12"/>
    <w:rsid w:val="00AD2BAB"/>
    <w:rsid w:val="00AD335D"/>
    <w:rsid w:val="00AD3C84"/>
    <w:rsid w:val="00AE1477"/>
    <w:rsid w:val="00AF200C"/>
    <w:rsid w:val="00AF792B"/>
    <w:rsid w:val="00B00190"/>
    <w:rsid w:val="00B01181"/>
    <w:rsid w:val="00B0294E"/>
    <w:rsid w:val="00B10F2B"/>
    <w:rsid w:val="00B17455"/>
    <w:rsid w:val="00B23EE2"/>
    <w:rsid w:val="00B24C52"/>
    <w:rsid w:val="00B333DE"/>
    <w:rsid w:val="00B3521D"/>
    <w:rsid w:val="00B55D5E"/>
    <w:rsid w:val="00B56B16"/>
    <w:rsid w:val="00B70DE7"/>
    <w:rsid w:val="00B717BA"/>
    <w:rsid w:val="00B735B0"/>
    <w:rsid w:val="00B75787"/>
    <w:rsid w:val="00B81E91"/>
    <w:rsid w:val="00B867D4"/>
    <w:rsid w:val="00B91814"/>
    <w:rsid w:val="00B920A3"/>
    <w:rsid w:val="00B929E6"/>
    <w:rsid w:val="00B92B81"/>
    <w:rsid w:val="00B94516"/>
    <w:rsid w:val="00BA183C"/>
    <w:rsid w:val="00BA655F"/>
    <w:rsid w:val="00BA665D"/>
    <w:rsid w:val="00BA7955"/>
    <w:rsid w:val="00BB13C6"/>
    <w:rsid w:val="00BB2855"/>
    <w:rsid w:val="00BB3407"/>
    <w:rsid w:val="00BB738A"/>
    <w:rsid w:val="00BC1DA3"/>
    <w:rsid w:val="00BC57FF"/>
    <w:rsid w:val="00BC6B25"/>
    <w:rsid w:val="00BC7909"/>
    <w:rsid w:val="00BD19C1"/>
    <w:rsid w:val="00BD25B8"/>
    <w:rsid w:val="00BD34C2"/>
    <w:rsid w:val="00BE3C75"/>
    <w:rsid w:val="00BF097D"/>
    <w:rsid w:val="00BF1228"/>
    <w:rsid w:val="00BF4618"/>
    <w:rsid w:val="00C0011E"/>
    <w:rsid w:val="00C012E1"/>
    <w:rsid w:val="00C029BD"/>
    <w:rsid w:val="00C037E5"/>
    <w:rsid w:val="00C06BB4"/>
    <w:rsid w:val="00C10D20"/>
    <w:rsid w:val="00C12AC4"/>
    <w:rsid w:val="00C12E0C"/>
    <w:rsid w:val="00C14968"/>
    <w:rsid w:val="00C21916"/>
    <w:rsid w:val="00C2650B"/>
    <w:rsid w:val="00C32E48"/>
    <w:rsid w:val="00C4106F"/>
    <w:rsid w:val="00C457CA"/>
    <w:rsid w:val="00C463AB"/>
    <w:rsid w:val="00C500EF"/>
    <w:rsid w:val="00C50BA0"/>
    <w:rsid w:val="00C52304"/>
    <w:rsid w:val="00C57349"/>
    <w:rsid w:val="00C57FB7"/>
    <w:rsid w:val="00C62CEB"/>
    <w:rsid w:val="00C65F3F"/>
    <w:rsid w:val="00C72414"/>
    <w:rsid w:val="00C7411F"/>
    <w:rsid w:val="00C8667B"/>
    <w:rsid w:val="00C86750"/>
    <w:rsid w:val="00C91EF5"/>
    <w:rsid w:val="00C9234E"/>
    <w:rsid w:val="00C93BB2"/>
    <w:rsid w:val="00C94402"/>
    <w:rsid w:val="00C9683E"/>
    <w:rsid w:val="00CA2A24"/>
    <w:rsid w:val="00CA4CE3"/>
    <w:rsid w:val="00CB1354"/>
    <w:rsid w:val="00CB19D8"/>
    <w:rsid w:val="00CB60BA"/>
    <w:rsid w:val="00CB65CB"/>
    <w:rsid w:val="00CC75C0"/>
    <w:rsid w:val="00CD23EF"/>
    <w:rsid w:val="00CD4F3F"/>
    <w:rsid w:val="00CE34BC"/>
    <w:rsid w:val="00CE365D"/>
    <w:rsid w:val="00CE562B"/>
    <w:rsid w:val="00CF75F6"/>
    <w:rsid w:val="00D05BEA"/>
    <w:rsid w:val="00D150AD"/>
    <w:rsid w:val="00D17D7F"/>
    <w:rsid w:val="00D2480A"/>
    <w:rsid w:val="00D25418"/>
    <w:rsid w:val="00D30F2D"/>
    <w:rsid w:val="00D311F8"/>
    <w:rsid w:val="00D36B52"/>
    <w:rsid w:val="00D3708C"/>
    <w:rsid w:val="00D377C8"/>
    <w:rsid w:val="00D37FE2"/>
    <w:rsid w:val="00D41274"/>
    <w:rsid w:val="00D43BF3"/>
    <w:rsid w:val="00D47EA8"/>
    <w:rsid w:val="00D5746B"/>
    <w:rsid w:val="00D60CD8"/>
    <w:rsid w:val="00D677E9"/>
    <w:rsid w:val="00D767BB"/>
    <w:rsid w:val="00D8752A"/>
    <w:rsid w:val="00D92681"/>
    <w:rsid w:val="00D939B0"/>
    <w:rsid w:val="00D958E2"/>
    <w:rsid w:val="00DB16E0"/>
    <w:rsid w:val="00DB2DF9"/>
    <w:rsid w:val="00DB383B"/>
    <w:rsid w:val="00DB4855"/>
    <w:rsid w:val="00DB7E63"/>
    <w:rsid w:val="00DC01C1"/>
    <w:rsid w:val="00DC2055"/>
    <w:rsid w:val="00DD16DC"/>
    <w:rsid w:val="00DD71E8"/>
    <w:rsid w:val="00DD7F83"/>
    <w:rsid w:val="00DE335E"/>
    <w:rsid w:val="00DF1B93"/>
    <w:rsid w:val="00DF68F5"/>
    <w:rsid w:val="00DF6A46"/>
    <w:rsid w:val="00DF7CA2"/>
    <w:rsid w:val="00E0641E"/>
    <w:rsid w:val="00E06664"/>
    <w:rsid w:val="00E11080"/>
    <w:rsid w:val="00E135B9"/>
    <w:rsid w:val="00E20C19"/>
    <w:rsid w:val="00E304BC"/>
    <w:rsid w:val="00E32853"/>
    <w:rsid w:val="00E33A00"/>
    <w:rsid w:val="00E379EC"/>
    <w:rsid w:val="00E401F8"/>
    <w:rsid w:val="00E41262"/>
    <w:rsid w:val="00E42932"/>
    <w:rsid w:val="00E43EEC"/>
    <w:rsid w:val="00E4498A"/>
    <w:rsid w:val="00E44C34"/>
    <w:rsid w:val="00E46425"/>
    <w:rsid w:val="00E47D0E"/>
    <w:rsid w:val="00E512D9"/>
    <w:rsid w:val="00E53721"/>
    <w:rsid w:val="00E628A5"/>
    <w:rsid w:val="00E6457D"/>
    <w:rsid w:val="00E65018"/>
    <w:rsid w:val="00E678CD"/>
    <w:rsid w:val="00E70EE3"/>
    <w:rsid w:val="00E72D69"/>
    <w:rsid w:val="00E7529B"/>
    <w:rsid w:val="00E75C20"/>
    <w:rsid w:val="00E77E85"/>
    <w:rsid w:val="00E863E2"/>
    <w:rsid w:val="00E8787B"/>
    <w:rsid w:val="00E94339"/>
    <w:rsid w:val="00E97563"/>
    <w:rsid w:val="00EB0B63"/>
    <w:rsid w:val="00EB2163"/>
    <w:rsid w:val="00EC1C35"/>
    <w:rsid w:val="00EC265C"/>
    <w:rsid w:val="00EC2DD7"/>
    <w:rsid w:val="00EC5A53"/>
    <w:rsid w:val="00EC65B7"/>
    <w:rsid w:val="00EC797C"/>
    <w:rsid w:val="00ED25B0"/>
    <w:rsid w:val="00ED61CB"/>
    <w:rsid w:val="00ED711E"/>
    <w:rsid w:val="00EE4353"/>
    <w:rsid w:val="00EF2488"/>
    <w:rsid w:val="00EF290B"/>
    <w:rsid w:val="00EF2F85"/>
    <w:rsid w:val="00EF3452"/>
    <w:rsid w:val="00EF61AD"/>
    <w:rsid w:val="00F062D8"/>
    <w:rsid w:val="00F06A72"/>
    <w:rsid w:val="00F06C6A"/>
    <w:rsid w:val="00F1242E"/>
    <w:rsid w:val="00F136F0"/>
    <w:rsid w:val="00F20BBB"/>
    <w:rsid w:val="00F20DCD"/>
    <w:rsid w:val="00F22C0B"/>
    <w:rsid w:val="00F24F69"/>
    <w:rsid w:val="00F3483B"/>
    <w:rsid w:val="00F34AE2"/>
    <w:rsid w:val="00F359FA"/>
    <w:rsid w:val="00F41BED"/>
    <w:rsid w:val="00F4394A"/>
    <w:rsid w:val="00F43BD8"/>
    <w:rsid w:val="00F55879"/>
    <w:rsid w:val="00F562F3"/>
    <w:rsid w:val="00F57140"/>
    <w:rsid w:val="00F647CA"/>
    <w:rsid w:val="00F66CC2"/>
    <w:rsid w:val="00F67BC3"/>
    <w:rsid w:val="00F728F5"/>
    <w:rsid w:val="00F73EC9"/>
    <w:rsid w:val="00F74B89"/>
    <w:rsid w:val="00F75133"/>
    <w:rsid w:val="00F80742"/>
    <w:rsid w:val="00F85074"/>
    <w:rsid w:val="00F870D3"/>
    <w:rsid w:val="00F922FB"/>
    <w:rsid w:val="00F93767"/>
    <w:rsid w:val="00F946C8"/>
    <w:rsid w:val="00FA30B6"/>
    <w:rsid w:val="00FA3899"/>
    <w:rsid w:val="00FA4909"/>
    <w:rsid w:val="00FA4CF1"/>
    <w:rsid w:val="00FA5A26"/>
    <w:rsid w:val="00FA6751"/>
    <w:rsid w:val="00FA7575"/>
    <w:rsid w:val="00FB1048"/>
    <w:rsid w:val="00FB3938"/>
    <w:rsid w:val="00FB62C4"/>
    <w:rsid w:val="00FB7701"/>
    <w:rsid w:val="00FC2DF1"/>
    <w:rsid w:val="00FC54A4"/>
    <w:rsid w:val="00FD0B66"/>
    <w:rsid w:val="00FD15E7"/>
    <w:rsid w:val="00FD1AC5"/>
    <w:rsid w:val="00FD549E"/>
    <w:rsid w:val="00FD5CF0"/>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3A9B13B8-F810-4BFD-B21D-AE378B46B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styleId="Strong">
    <w:name w:val="Strong"/>
    <w:basedOn w:val="DefaultParagraphFont"/>
    <w:uiPriority w:val="22"/>
    <w:qFormat/>
    <w:rsid w:val="00ED711E"/>
    <w:rPr>
      <w:b/>
      <w:bCs/>
    </w:rPr>
  </w:style>
  <w:style w:type="character" w:customStyle="1" w:styleId="UnresolvedMention">
    <w:name w:val="Unresolved Mention"/>
    <w:basedOn w:val="DefaultParagraphFont"/>
    <w:uiPriority w:val="99"/>
    <w:semiHidden/>
    <w:unhideWhenUsed/>
    <w:rsid w:val="00F3483B"/>
    <w:rPr>
      <w:color w:val="605E5C"/>
      <w:shd w:val="clear" w:color="auto" w:fill="E1DFDD"/>
    </w:rPr>
  </w:style>
  <w:style w:type="table" w:customStyle="1" w:styleId="PlainTable21">
    <w:name w:val="Plain Table 21"/>
    <w:basedOn w:val="TableNormal"/>
    <w:uiPriority w:val="42"/>
    <w:rsid w:val="00A23F1C"/>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dy">
    <w:name w:val="Body"/>
    <w:basedOn w:val="Normal"/>
    <w:rsid w:val="00352E69"/>
    <w:pPr>
      <w:spacing w:after="240"/>
      <w:jc w:val="both"/>
    </w:pPr>
    <w:rPr>
      <w:rFonts w:ascii="Helvetica" w:eastAsia="Times New Roman" w:hAnsi="Helvetica"/>
      <w:sz w:val="20"/>
      <w:szCs w:val="20"/>
      <w:lang w:val="en-US" w:eastAsia="en-US"/>
    </w:rPr>
  </w:style>
  <w:style w:type="character" w:customStyle="1" w:styleId="arxivid">
    <w:name w:val="arxivid"/>
    <w:basedOn w:val="DefaultParagraphFont"/>
    <w:rsid w:val="004A0067"/>
  </w:style>
  <w:style w:type="paragraph" w:styleId="NormalWeb">
    <w:name w:val="Normal (Web)"/>
    <w:basedOn w:val="Normal"/>
    <w:uiPriority w:val="99"/>
    <w:semiHidden/>
    <w:unhideWhenUsed/>
    <w:rsid w:val="00EF2F85"/>
    <w:pPr>
      <w:spacing w:before="100" w:beforeAutospacing="1" w:after="100" w:afterAutospacing="1"/>
    </w:pPr>
    <w:rPr>
      <w:rFonts w:eastAsia="Times New Roman"/>
      <w:lang w:val="en-US" w:eastAsia="en-US"/>
    </w:rPr>
  </w:style>
  <w:style w:type="paragraph" w:styleId="NoSpacing">
    <w:name w:val="No Spacing"/>
    <w:uiPriority w:val="1"/>
    <w:qFormat/>
    <w:rsid w:val="003B2523"/>
    <w:rPr>
      <w:sz w:val="24"/>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08365">
      <w:bodyDiv w:val="1"/>
      <w:marLeft w:val="0"/>
      <w:marRight w:val="0"/>
      <w:marTop w:val="0"/>
      <w:marBottom w:val="0"/>
      <w:divBdr>
        <w:top w:val="none" w:sz="0" w:space="0" w:color="auto"/>
        <w:left w:val="none" w:sz="0" w:space="0" w:color="auto"/>
        <w:bottom w:val="none" w:sz="0" w:space="0" w:color="auto"/>
        <w:right w:val="none" w:sz="0" w:space="0" w:color="auto"/>
      </w:divBdr>
    </w:div>
    <w:div w:id="263340391">
      <w:bodyDiv w:val="1"/>
      <w:marLeft w:val="0"/>
      <w:marRight w:val="0"/>
      <w:marTop w:val="0"/>
      <w:marBottom w:val="0"/>
      <w:divBdr>
        <w:top w:val="none" w:sz="0" w:space="0" w:color="auto"/>
        <w:left w:val="none" w:sz="0" w:space="0" w:color="auto"/>
        <w:bottom w:val="none" w:sz="0" w:space="0" w:color="auto"/>
        <w:right w:val="none" w:sz="0" w:space="0" w:color="auto"/>
      </w:divBdr>
    </w:div>
    <w:div w:id="629432957">
      <w:bodyDiv w:val="1"/>
      <w:marLeft w:val="0"/>
      <w:marRight w:val="0"/>
      <w:marTop w:val="0"/>
      <w:marBottom w:val="0"/>
      <w:divBdr>
        <w:top w:val="none" w:sz="0" w:space="0" w:color="auto"/>
        <w:left w:val="none" w:sz="0" w:space="0" w:color="auto"/>
        <w:bottom w:val="none" w:sz="0" w:space="0" w:color="auto"/>
        <w:right w:val="none" w:sz="0" w:space="0" w:color="auto"/>
      </w:divBdr>
    </w:div>
    <w:div w:id="882597057">
      <w:bodyDiv w:val="1"/>
      <w:marLeft w:val="0"/>
      <w:marRight w:val="0"/>
      <w:marTop w:val="0"/>
      <w:marBottom w:val="0"/>
      <w:divBdr>
        <w:top w:val="none" w:sz="0" w:space="0" w:color="auto"/>
        <w:left w:val="none" w:sz="0" w:space="0" w:color="auto"/>
        <w:bottom w:val="none" w:sz="0" w:space="0" w:color="auto"/>
        <w:right w:val="none" w:sz="0" w:space="0" w:color="auto"/>
      </w:divBdr>
    </w:div>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149060297">
      <w:bodyDiv w:val="1"/>
      <w:marLeft w:val="0"/>
      <w:marRight w:val="0"/>
      <w:marTop w:val="0"/>
      <w:marBottom w:val="0"/>
      <w:divBdr>
        <w:top w:val="none" w:sz="0" w:space="0" w:color="auto"/>
        <w:left w:val="none" w:sz="0" w:space="0" w:color="auto"/>
        <w:bottom w:val="none" w:sz="0" w:space="0" w:color="auto"/>
        <w:right w:val="none" w:sz="0" w:space="0" w:color="auto"/>
      </w:divBdr>
    </w:div>
    <w:div w:id="1302033260">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17513">
      <w:bodyDiv w:val="1"/>
      <w:marLeft w:val="0"/>
      <w:marRight w:val="0"/>
      <w:marTop w:val="0"/>
      <w:marBottom w:val="0"/>
      <w:divBdr>
        <w:top w:val="none" w:sz="0" w:space="0" w:color="auto"/>
        <w:left w:val="none" w:sz="0" w:space="0" w:color="auto"/>
        <w:bottom w:val="none" w:sz="0" w:space="0" w:color="auto"/>
        <w:right w:val="none" w:sz="0" w:space="0" w:color="auto"/>
      </w:divBdr>
    </w:div>
    <w:div w:id="1954701205">
      <w:bodyDiv w:val="1"/>
      <w:marLeft w:val="0"/>
      <w:marRight w:val="0"/>
      <w:marTop w:val="0"/>
      <w:marBottom w:val="0"/>
      <w:divBdr>
        <w:top w:val="none" w:sz="0" w:space="0" w:color="auto"/>
        <w:left w:val="none" w:sz="0" w:space="0" w:color="auto"/>
        <w:bottom w:val="none" w:sz="0" w:space="0" w:color="auto"/>
        <w:right w:val="none" w:sz="0" w:space="0" w:color="auto"/>
      </w:divBdr>
    </w:div>
    <w:div w:id="2021278791">
      <w:bodyDiv w:val="1"/>
      <w:marLeft w:val="0"/>
      <w:marRight w:val="0"/>
      <w:marTop w:val="0"/>
      <w:marBottom w:val="0"/>
      <w:divBdr>
        <w:top w:val="none" w:sz="0" w:space="0" w:color="auto"/>
        <w:left w:val="none" w:sz="0" w:space="0" w:color="auto"/>
        <w:bottom w:val="none" w:sz="0" w:space="0" w:color="auto"/>
        <w:right w:val="none" w:sz="0" w:space="0" w:color="auto"/>
      </w:divBdr>
    </w:div>
    <w:div w:id="213138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rxiv.org/abs/1703.0469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s://doi.org/10.35914/mathstat.xxxx.xxx" TargetMode="External"/><Relationship Id="rId1" Type="http://schemas.openxmlformats.org/officeDocument/2006/relationships/hyperlink" Target="https://doi.org/10.35914/mathstat.xx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B1CAE143-F702-47D4-A69D-0B0CAA75D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1771</Words>
  <Characters>10100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11848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Microsoft account</cp:lastModifiedBy>
  <cp:revision>2</cp:revision>
  <cp:lastPrinted>2017-04-18T03:46:00Z</cp:lastPrinted>
  <dcterms:created xsi:type="dcterms:W3CDTF">2025-08-03T07:14:00Z</dcterms:created>
  <dcterms:modified xsi:type="dcterms:W3CDTF">2025-08-03T07:14:00Z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abialmusthafa@gmail.com@www.mendeley.com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http://csl.mendeley.com/styles/411175231/iop-454RI</vt:lpwstr>
  </property>
  <property fmtid="{D5CDD505-2E9C-101B-9397-08002B2CF9AE}" pid="16" name="Mendeley Recent Style Name 5_1">
    <vt:lpwstr>IOP AS Ahmar</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