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14979" w14:textId="6457D359" w:rsidR="00427E46" w:rsidRDefault="00FD3C9E">
      <w:pPr>
        <w:spacing w:before="24"/>
        <w:ind w:left="158"/>
        <w:rPr>
          <w:rFonts w:ascii="Verdana"/>
          <w:sz w:val="18"/>
        </w:rPr>
      </w:pPr>
      <w:r>
        <w:rPr>
          <w:rFonts w:ascii="Verdana"/>
          <w:spacing w:val="-4"/>
          <w:sz w:val="18"/>
        </w:rPr>
        <w:t>Vol.</w:t>
      </w:r>
      <w:r>
        <w:rPr>
          <w:rFonts w:ascii="Verdana"/>
          <w:spacing w:val="-11"/>
          <w:sz w:val="18"/>
        </w:rPr>
        <w:t xml:space="preserve"> </w:t>
      </w:r>
      <w:r w:rsidR="00117C94">
        <w:rPr>
          <w:rFonts w:ascii="Verdana"/>
          <w:spacing w:val="-4"/>
          <w:sz w:val="18"/>
        </w:rPr>
        <w:t>3</w:t>
      </w:r>
      <w:r>
        <w:rPr>
          <w:rFonts w:ascii="Verdana"/>
          <w:spacing w:val="-4"/>
          <w:sz w:val="18"/>
        </w:rPr>
        <w:t>,</w:t>
      </w:r>
      <w:r>
        <w:rPr>
          <w:rFonts w:ascii="Verdana"/>
          <w:spacing w:val="-14"/>
          <w:sz w:val="18"/>
        </w:rPr>
        <w:t xml:space="preserve"> </w:t>
      </w:r>
      <w:r>
        <w:rPr>
          <w:rFonts w:ascii="Verdana"/>
          <w:spacing w:val="-4"/>
          <w:sz w:val="18"/>
        </w:rPr>
        <w:t>No.</w:t>
      </w:r>
      <w:r>
        <w:rPr>
          <w:rFonts w:ascii="Verdana"/>
          <w:spacing w:val="-14"/>
          <w:sz w:val="18"/>
        </w:rPr>
        <w:t xml:space="preserve"> </w:t>
      </w:r>
      <w:r w:rsidR="00117C94">
        <w:rPr>
          <w:rFonts w:ascii="Verdana"/>
          <w:spacing w:val="-4"/>
          <w:sz w:val="18"/>
        </w:rPr>
        <w:t>1</w:t>
      </w:r>
      <w:r>
        <w:rPr>
          <w:rFonts w:ascii="Verdana"/>
          <w:spacing w:val="-4"/>
          <w:sz w:val="18"/>
        </w:rPr>
        <w:t>,</w:t>
      </w:r>
      <w:r>
        <w:rPr>
          <w:rFonts w:ascii="Verdana"/>
          <w:spacing w:val="-13"/>
          <w:sz w:val="18"/>
        </w:rPr>
        <w:t xml:space="preserve"> </w:t>
      </w:r>
      <w:r w:rsidR="005367BA">
        <w:rPr>
          <w:rFonts w:ascii="Verdana"/>
          <w:spacing w:val="-4"/>
          <w:sz w:val="18"/>
        </w:rPr>
        <w:t>June</w:t>
      </w:r>
      <w:r>
        <w:rPr>
          <w:rFonts w:ascii="Verdana"/>
          <w:spacing w:val="-10"/>
          <w:sz w:val="18"/>
        </w:rPr>
        <w:t xml:space="preserve"> </w:t>
      </w:r>
      <w:r>
        <w:rPr>
          <w:rFonts w:ascii="Verdana"/>
          <w:spacing w:val="-4"/>
          <w:sz w:val="18"/>
        </w:rPr>
        <w:t>202</w:t>
      </w:r>
      <w:r w:rsidR="00117C94">
        <w:rPr>
          <w:rFonts w:ascii="Verdana"/>
          <w:spacing w:val="-4"/>
          <w:sz w:val="18"/>
        </w:rPr>
        <w:t>5</w:t>
      </w:r>
      <w:r>
        <w:rPr>
          <w:rFonts w:ascii="Verdana"/>
          <w:spacing w:val="-4"/>
          <w:sz w:val="18"/>
        </w:rPr>
        <w:t>.</w:t>
      </w:r>
    </w:p>
    <w:p w14:paraId="747C746E" w14:textId="77777777" w:rsidR="00427E46" w:rsidRDefault="00FD3C9E">
      <w:pPr>
        <w:spacing w:before="31"/>
        <w:ind w:left="158"/>
        <w:rPr>
          <w:rFonts w:ascii="Arial MT"/>
          <w:sz w:val="20"/>
        </w:rPr>
      </w:pPr>
      <w:r>
        <w:rPr>
          <w:rFonts w:ascii="Verdana"/>
          <w:w w:val="85"/>
          <w:sz w:val="18"/>
        </w:rPr>
        <w:t>DOI:</w:t>
      </w:r>
      <w:r>
        <w:rPr>
          <w:rFonts w:ascii="Verdana"/>
          <w:spacing w:val="31"/>
          <w:sz w:val="18"/>
        </w:rPr>
        <w:t xml:space="preserve">  </w:t>
      </w:r>
      <w:hyperlink r:id="rId8">
        <w:r>
          <w:rPr>
            <w:rFonts w:ascii="Arial MT"/>
            <w:color w:val="0000FF"/>
            <w:spacing w:val="-2"/>
            <w:sz w:val="20"/>
            <w:u w:val="single" w:color="0000FF"/>
          </w:rPr>
          <w:t>https://doi.org/10.35914/mathstat.v2i2.195</w:t>
        </w:r>
      </w:hyperlink>
    </w:p>
    <w:p w14:paraId="658B991E" w14:textId="77777777" w:rsidR="00427E46" w:rsidRDefault="00427E46">
      <w:pPr>
        <w:pStyle w:val="BodyText"/>
        <w:spacing w:before="88"/>
        <w:ind w:left="0"/>
        <w:jc w:val="left"/>
        <w:rPr>
          <w:rFonts w:ascii="Arial MT"/>
          <w:sz w:val="28"/>
        </w:rPr>
      </w:pPr>
    </w:p>
    <w:p w14:paraId="0F9E93AB" w14:textId="4D1D5973" w:rsidR="00117C94" w:rsidRPr="00D61B35" w:rsidRDefault="002A4210" w:rsidP="00117C94">
      <w:pPr>
        <w:spacing w:before="240" w:after="240"/>
        <w:jc w:val="center"/>
        <w:rPr>
          <w:rFonts w:eastAsia="SimSun"/>
          <w:b/>
          <w:sz w:val="36"/>
          <w:szCs w:val="24"/>
          <w:lang w:val="id-ID"/>
        </w:rPr>
      </w:pPr>
      <w:r w:rsidRPr="002A4210">
        <w:rPr>
          <w:rFonts w:eastAsia="SimSun"/>
          <w:b/>
          <w:sz w:val="36"/>
          <w:szCs w:val="24"/>
          <w:lang w:val="id-ID"/>
        </w:rPr>
        <w:t xml:space="preserve">Analysis of Factors Influencing Chili Production Using </w:t>
      </w:r>
      <w:r w:rsidR="005A03BF">
        <w:rPr>
          <w:rFonts w:eastAsia="SimSun"/>
          <w:b/>
          <w:sz w:val="36"/>
          <w:szCs w:val="24"/>
          <w:lang w:val="id-ID"/>
        </w:rPr>
        <w:t xml:space="preserve">the </w:t>
      </w:r>
      <w:r w:rsidRPr="002A4210">
        <w:rPr>
          <w:rFonts w:eastAsia="SimSun"/>
          <w:b/>
          <w:sz w:val="36"/>
          <w:szCs w:val="24"/>
          <w:lang w:val="id-ID"/>
        </w:rPr>
        <w:t>Spatial Regression Method</w:t>
      </w:r>
    </w:p>
    <w:p w14:paraId="3E2C1223" w14:textId="1E75F4C7" w:rsidR="00427E46" w:rsidRDefault="00427E46">
      <w:pPr>
        <w:pStyle w:val="BodyText"/>
        <w:spacing w:before="11"/>
        <w:ind w:left="0"/>
        <w:jc w:val="left"/>
        <w:rPr>
          <w:i/>
          <w:sz w:val="17"/>
        </w:rPr>
      </w:pPr>
    </w:p>
    <w:p w14:paraId="50A24EBB" w14:textId="766AE1F2" w:rsidR="00117C94" w:rsidRPr="00194A17" w:rsidRDefault="002A4210" w:rsidP="00117C94">
      <w:pPr>
        <w:spacing w:before="240" w:after="240"/>
        <w:jc w:val="center"/>
        <w:rPr>
          <w:b/>
          <w:bCs/>
          <w:color w:val="000000" w:themeColor="text1"/>
          <w:sz w:val="24"/>
          <w:szCs w:val="24"/>
          <w:vertAlign w:val="superscript"/>
          <w:lang w:eastAsia="zh-CN"/>
        </w:rPr>
      </w:pPr>
      <w:bookmarkStart w:id="0" w:name="_Hlk205209457"/>
      <w:proofErr w:type="spellStart"/>
      <w:r>
        <w:rPr>
          <w:rFonts w:eastAsia="Cambria"/>
          <w:b/>
          <w:bCs/>
          <w:sz w:val="26"/>
          <w:szCs w:val="26"/>
        </w:rPr>
        <w:t>Laraswati</w:t>
      </w:r>
      <w:proofErr w:type="spellEnd"/>
      <w:r>
        <w:rPr>
          <w:rFonts w:eastAsia="Cambria"/>
          <w:b/>
          <w:bCs/>
          <w:sz w:val="26"/>
          <w:szCs w:val="26"/>
        </w:rPr>
        <w:t xml:space="preserve"> Ananda</w:t>
      </w:r>
      <w:r>
        <w:rPr>
          <w:rFonts w:eastAsia="Cambria"/>
          <w:b/>
          <w:bCs/>
          <w:sz w:val="26"/>
          <w:szCs w:val="26"/>
          <w:vertAlign w:val="superscript"/>
        </w:rPr>
        <w:t>1</w:t>
      </w:r>
      <w:r>
        <w:rPr>
          <w:rFonts w:eastAsia="Cambria"/>
          <w:b/>
          <w:bCs/>
          <w:sz w:val="26"/>
          <w:szCs w:val="26"/>
        </w:rPr>
        <w:t xml:space="preserve">, </w:t>
      </w:r>
      <w:proofErr w:type="spellStart"/>
      <w:r>
        <w:rPr>
          <w:rFonts w:eastAsia="Cambria"/>
          <w:b/>
          <w:bCs/>
          <w:sz w:val="26"/>
          <w:szCs w:val="26"/>
        </w:rPr>
        <w:t>Riski</w:t>
      </w:r>
      <w:proofErr w:type="spellEnd"/>
      <w:r>
        <w:rPr>
          <w:rFonts w:eastAsia="Cambria"/>
          <w:b/>
          <w:bCs/>
          <w:sz w:val="26"/>
          <w:szCs w:val="26"/>
        </w:rPr>
        <w:t xml:space="preserve"> Gusnayanti</w:t>
      </w:r>
      <w:r>
        <w:rPr>
          <w:rFonts w:eastAsia="Cambria"/>
          <w:b/>
          <w:bCs/>
          <w:sz w:val="26"/>
          <w:szCs w:val="26"/>
          <w:vertAlign w:val="superscript"/>
        </w:rPr>
        <w:t>2</w:t>
      </w:r>
      <w:r>
        <w:rPr>
          <w:rFonts w:eastAsia="Cambria"/>
          <w:b/>
          <w:bCs/>
          <w:sz w:val="26"/>
          <w:szCs w:val="26"/>
        </w:rPr>
        <w:t xml:space="preserve">, </w:t>
      </w:r>
      <w:proofErr w:type="spellStart"/>
      <w:r>
        <w:rPr>
          <w:rFonts w:eastAsia="Cambria"/>
          <w:b/>
          <w:bCs/>
          <w:sz w:val="26"/>
          <w:szCs w:val="26"/>
        </w:rPr>
        <w:t>Muji</w:t>
      </w:r>
      <w:proofErr w:type="spellEnd"/>
      <w:r>
        <w:rPr>
          <w:rFonts w:eastAsia="Cambria"/>
          <w:b/>
          <w:bCs/>
          <w:sz w:val="26"/>
          <w:szCs w:val="26"/>
        </w:rPr>
        <w:t xml:space="preserve"> Ratmaji</w:t>
      </w:r>
      <w:r>
        <w:rPr>
          <w:rFonts w:eastAsia="Cambria"/>
          <w:b/>
          <w:sz w:val="26"/>
          <w:szCs w:val="26"/>
          <w:vertAlign w:val="superscript"/>
        </w:rPr>
        <w:t>3</w:t>
      </w:r>
      <w:r w:rsidR="00117C94" w:rsidRPr="00117C94">
        <w:rPr>
          <w:b/>
          <w:bCs/>
          <w:color w:val="000000" w:themeColor="text1"/>
          <w:sz w:val="24"/>
          <w:szCs w:val="24"/>
          <w:lang w:val="id-ID"/>
        </w:rPr>
        <w:t>, Siti Soraya</w:t>
      </w:r>
      <w:r>
        <w:rPr>
          <w:b/>
          <w:bCs/>
          <w:color w:val="000000" w:themeColor="text1"/>
          <w:sz w:val="24"/>
          <w:szCs w:val="24"/>
          <w:vertAlign w:val="superscript"/>
        </w:rPr>
        <w:t>4</w:t>
      </w:r>
      <w:r w:rsidR="00194A17">
        <w:rPr>
          <w:b/>
          <w:bCs/>
          <w:color w:val="000000" w:themeColor="text1"/>
          <w:sz w:val="24"/>
          <w:szCs w:val="24"/>
          <w:lang w:eastAsia="zh-CN"/>
        </w:rPr>
        <w:t>, Firmansyah</w:t>
      </w:r>
      <w:r w:rsidR="00194A17">
        <w:rPr>
          <w:b/>
          <w:bCs/>
          <w:color w:val="000000" w:themeColor="text1"/>
          <w:sz w:val="24"/>
          <w:szCs w:val="24"/>
          <w:vertAlign w:val="superscript"/>
          <w:lang w:eastAsia="zh-CN"/>
        </w:rPr>
        <w:t>5</w:t>
      </w:r>
      <w:bookmarkStart w:id="1" w:name="_GoBack"/>
      <w:bookmarkEnd w:id="1"/>
    </w:p>
    <w:p w14:paraId="7DB3364B" w14:textId="71E9E2CB" w:rsidR="00117C94" w:rsidRPr="00D61B35" w:rsidRDefault="00117C94" w:rsidP="00117C94">
      <w:pPr>
        <w:jc w:val="center"/>
        <w:rPr>
          <w:rFonts w:eastAsia="SimSun"/>
          <w:lang w:val="id-ID"/>
        </w:rPr>
      </w:pPr>
      <w:r w:rsidRPr="00D61B35">
        <w:rPr>
          <w:rFonts w:eastAsia="SimSun"/>
          <w:vertAlign w:val="superscript"/>
          <w:lang w:val="id-ID"/>
        </w:rPr>
        <w:t>1,2,3</w:t>
      </w:r>
      <w:r w:rsidRPr="00D61B35">
        <w:rPr>
          <w:rFonts w:eastAsia="SimSun"/>
          <w:lang w:val="id-ID"/>
        </w:rPr>
        <w:t>Department of Computer Science, Universitas Bumigora, Indonesia</w:t>
      </w:r>
    </w:p>
    <w:p w14:paraId="5F36DDB2" w14:textId="77777777" w:rsidR="00117C94" w:rsidRDefault="00117C94" w:rsidP="00117C94">
      <w:pPr>
        <w:spacing w:before="120" w:after="120"/>
        <w:jc w:val="center"/>
        <w:rPr>
          <w:rFonts w:eastAsia="SimSun"/>
          <w:color w:val="000000" w:themeColor="text1"/>
          <w:lang w:val="id-ID"/>
        </w:rPr>
      </w:pPr>
      <w:r w:rsidRPr="00D61B35">
        <w:rPr>
          <w:rFonts w:eastAsia="SimSun"/>
          <w:lang w:val="id-ID"/>
        </w:rPr>
        <w:t xml:space="preserve">*Corresponding </w:t>
      </w:r>
      <w:r>
        <w:rPr>
          <w:rFonts w:eastAsia="SimSun"/>
        </w:rPr>
        <w:t>email</w:t>
      </w:r>
      <w:r w:rsidRPr="00D61B35">
        <w:rPr>
          <w:rFonts w:eastAsia="SimSun"/>
          <w:lang w:val="id-ID"/>
        </w:rPr>
        <w:t xml:space="preserve"> </w:t>
      </w:r>
      <w:r w:rsidRPr="00D61B35">
        <w:rPr>
          <w:rFonts w:eastAsia="SimSun"/>
          <w:color w:val="000000" w:themeColor="text1"/>
          <w:lang w:val="id-ID"/>
        </w:rPr>
        <w:t xml:space="preserve">: </w:t>
      </w:r>
      <w:r w:rsidR="002F6948">
        <w:fldChar w:fldCharType="begin"/>
      </w:r>
      <w:r w:rsidR="002F6948">
        <w:instrText xml:space="preserve"> HYPERLINK "mailto:sitisorayaburhan@universitasbumigora.ac.id" </w:instrText>
      </w:r>
      <w:r w:rsidR="002F6948">
        <w:fldChar w:fldCharType="separate"/>
      </w:r>
      <w:r w:rsidRPr="00883FAF">
        <w:rPr>
          <w:rStyle w:val="Hyperlink"/>
          <w:rFonts w:eastAsia="SimSun"/>
          <w:lang w:val="id-ID"/>
        </w:rPr>
        <w:t>sitisorayaburhan@universitasbumigora.ac.id</w:t>
      </w:r>
      <w:r w:rsidR="002F6948">
        <w:rPr>
          <w:rStyle w:val="Hyperlink"/>
          <w:rFonts w:eastAsia="SimSun"/>
          <w:lang w:val="id-ID"/>
        </w:rPr>
        <w:fldChar w:fldCharType="end"/>
      </w:r>
    </w:p>
    <w:bookmarkEnd w:id="0"/>
    <w:p w14:paraId="2E3C371B" w14:textId="571AE538" w:rsidR="00117C94" w:rsidRPr="00117C94" w:rsidRDefault="00117C94">
      <w:pPr>
        <w:pStyle w:val="BodyText"/>
        <w:spacing w:before="11"/>
        <w:ind w:left="0"/>
        <w:jc w:val="left"/>
        <w:rPr>
          <w:iCs/>
          <w:sz w:val="17"/>
        </w:rPr>
      </w:pPr>
    </w:p>
    <w:p w14:paraId="3DD86A17" w14:textId="77777777" w:rsidR="00117C94" w:rsidRDefault="00117C94">
      <w:pPr>
        <w:pStyle w:val="BodyText"/>
        <w:spacing w:before="11"/>
        <w:ind w:left="0"/>
        <w:jc w:val="left"/>
        <w:rPr>
          <w:i/>
          <w:sz w:val="17"/>
        </w:rPr>
      </w:pPr>
    </w:p>
    <w:tbl>
      <w:tblPr>
        <w:tblW w:w="0" w:type="auto"/>
        <w:tblInd w:w="307" w:type="dxa"/>
        <w:tblLayout w:type="fixed"/>
        <w:tblCellMar>
          <w:left w:w="0" w:type="dxa"/>
          <w:right w:w="0" w:type="dxa"/>
        </w:tblCellMar>
        <w:tblLook w:val="01E0" w:firstRow="1" w:lastRow="1" w:firstColumn="1" w:lastColumn="1" w:noHBand="0" w:noVBand="0"/>
      </w:tblPr>
      <w:tblGrid>
        <w:gridCol w:w="9021"/>
      </w:tblGrid>
      <w:tr w:rsidR="00427E46" w14:paraId="64F5CF1E" w14:textId="77777777">
        <w:trPr>
          <w:trHeight w:val="350"/>
        </w:trPr>
        <w:tc>
          <w:tcPr>
            <w:tcW w:w="9021" w:type="dxa"/>
            <w:tcBorders>
              <w:top w:val="single" w:sz="4" w:space="0" w:color="7E7E7E"/>
              <w:bottom w:val="single" w:sz="4" w:space="0" w:color="7E7E7E"/>
            </w:tcBorders>
          </w:tcPr>
          <w:p w14:paraId="3BC08D34" w14:textId="77777777" w:rsidR="00427E46" w:rsidRDefault="00FD3C9E">
            <w:pPr>
              <w:pStyle w:val="TableParagraph"/>
              <w:spacing w:before="120" w:line="210" w:lineRule="exact"/>
              <w:ind w:left="5" w:right="3"/>
              <w:jc w:val="center"/>
              <w:rPr>
                <w:b/>
                <w:sz w:val="20"/>
              </w:rPr>
            </w:pPr>
            <w:r>
              <w:rPr>
                <w:b/>
                <w:spacing w:val="-2"/>
                <w:sz w:val="20"/>
              </w:rPr>
              <w:t>ABSTRACT</w:t>
            </w:r>
          </w:p>
        </w:tc>
      </w:tr>
      <w:tr w:rsidR="00427E46" w14:paraId="09A0846A" w14:textId="77777777">
        <w:trPr>
          <w:trHeight w:val="3012"/>
        </w:trPr>
        <w:tc>
          <w:tcPr>
            <w:tcW w:w="9021" w:type="dxa"/>
            <w:tcBorders>
              <w:top w:val="single" w:sz="4" w:space="0" w:color="7E7E7E"/>
              <w:bottom w:val="single" w:sz="4" w:space="0" w:color="7E7E7E"/>
            </w:tcBorders>
          </w:tcPr>
          <w:p w14:paraId="35750B05" w14:textId="55003F8C" w:rsidR="00427E46" w:rsidRPr="005A03BF" w:rsidRDefault="002A4210" w:rsidP="005A03BF">
            <w:pPr>
              <w:pStyle w:val="TableParagraph"/>
              <w:spacing w:before="12"/>
              <w:jc w:val="both"/>
              <w:rPr>
                <w:rFonts w:eastAsia="Cambria"/>
                <w:bCs/>
                <w:sz w:val="20"/>
                <w:szCs w:val="20"/>
              </w:rPr>
            </w:pPr>
            <w:r w:rsidRPr="005A03BF">
              <w:rPr>
                <w:rFonts w:eastAsia="Cambria"/>
                <w:bCs/>
                <w:sz w:val="20"/>
                <w:szCs w:val="20"/>
              </w:rPr>
              <w:t>Chili pepper production in West Nusa Tenggara is the second largest producer in Indonesia. However, the distribution of production still shows a significant imbalance between regions. This imbalance can affect the stability of supply and prices both locally and nationally. This study aims to examine the factors that influence chili pepper production in NTB using the spatial regression method. The data used are secondary data from agricultural statistics in 2024, which cover ten districts/cities. The SEM model was chosen because it can identify the effects that occur between geographically close regions, which are often not visible in traditional regression models. The results of the analysis show that the area of ​​harvested land and the level of chili pepper productivity have a significant effect on the total production at a real level of 10%, with coefficients of 96.6132 and 44,385.5, respectively. The lambda value reaching 1.6667 provides support for evidence of positive spatial autocorrelation between regions. The SEM model also showed a lower AIC value (316.58) compared to the classical regression model, indicating that this model is more efficient and accurate.</w:t>
            </w:r>
          </w:p>
          <w:p w14:paraId="0592AE7C" w14:textId="77777777" w:rsidR="002A4210" w:rsidRDefault="002A4210">
            <w:pPr>
              <w:pStyle w:val="TableParagraph"/>
              <w:spacing w:before="12"/>
              <w:rPr>
                <w:i/>
                <w:sz w:val="20"/>
              </w:rPr>
            </w:pPr>
          </w:p>
          <w:p w14:paraId="663490B6" w14:textId="6AE0FA9E" w:rsidR="00427E46" w:rsidRPr="002A4210" w:rsidRDefault="00FD3C9E">
            <w:pPr>
              <w:pStyle w:val="TableParagraph"/>
              <w:spacing w:before="0"/>
              <w:ind w:left="115"/>
              <w:jc w:val="both"/>
              <w:rPr>
                <w:iCs/>
                <w:sz w:val="20"/>
              </w:rPr>
            </w:pPr>
            <w:r w:rsidRPr="004E5658">
              <w:rPr>
                <w:iCs/>
                <w:sz w:val="20"/>
              </w:rPr>
              <w:t>Keyword:</w:t>
            </w:r>
            <w:r w:rsidRPr="004E5658">
              <w:rPr>
                <w:iCs/>
                <w:spacing w:val="-7"/>
                <w:sz w:val="20"/>
              </w:rPr>
              <w:t xml:space="preserve"> </w:t>
            </w:r>
            <w:r w:rsidR="002A4210">
              <w:rPr>
                <w:iCs/>
                <w:spacing w:val="-7"/>
                <w:sz w:val="20"/>
              </w:rPr>
              <w:t xml:space="preserve">Agriculture, </w:t>
            </w:r>
            <w:r w:rsidR="002A4210">
              <w:rPr>
                <w:rFonts w:eastAsia="Cambria"/>
              </w:rPr>
              <w:t>Cayenne Pepper</w:t>
            </w:r>
            <w:r w:rsidR="00117C94" w:rsidRPr="004E5658">
              <w:rPr>
                <w:iCs/>
                <w:sz w:val="20"/>
                <w:lang w:val="id-ID"/>
              </w:rPr>
              <w:t>,</w:t>
            </w:r>
            <w:r w:rsidR="00117C94" w:rsidRPr="004E5658">
              <w:rPr>
                <w:iCs/>
                <w:sz w:val="20"/>
              </w:rPr>
              <w:t xml:space="preserve"> </w:t>
            </w:r>
            <w:r w:rsidR="002A4210">
              <w:rPr>
                <w:rFonts w:eastAsia="Cambria"/>
              </w:rPr>
              <w:t>Chili</w:t>
            </w:r>
            <w:r w:rsidR="004E5658" w:rsidRPr="004E5658">
              <w:rPr>
                <w:iCs/>
                <w:sz w:val="20"/>
              </w:rPr>
              <w:t>,</w:t>
            </w:r>
            <w:r w:rsidR="00117C94" w:rsidRPr="004E5658">
              <w:rPr>
                <w:iCs/>
                <w:sz w:val="20"/>
                <w:lang w:val="id-ID"/>
              </w:rPr>
              <w:t xml:space="preserve"> </w:t>
            </w:r>
            <w:r w:rsidR="002A4210">
              <w:rPr>
                <w:iCs/>
                <w:sz w:val="20"/>
              </w:rPr>
              <w:t>Economic, Production</w:t>
            </w:r>
            <w:r w:rsidR="002A4210">
              <w:rPr>
                <w:rFonts w:eastAsia="Cambria"/>
              </w:rPr>
              <w:t>, Spatial Error Model</w:t>
            </w:r>
          </w:p>
        </w:tc>
      </w:tr>
      <w:tr w:rsidR="00427E46" w14:paraId="25175AE4" w14:textId="77777777">
        <w:trPr>
          <w:trHeight w:val="616"/>
        </w:trPr>
        <w:tc>
          <w:tcPr>
            <w:tcW w:w="9021" w:type="dxa"/>
            <w:tcBorders>
              <w:top w:val="single" w:sz="4" w:space="0" w:color="7E7E7E"/>
              <w:bottom w:val="single" w:sz="4" w:space="0" w:color="7E7E7E"/>
            </w:tcBorders>
          </w:tcPr>
          <w:p w14:paraId="6E04985E" w14:textId="77777777" w:rsidR="00427E46" w:rsidRDefault="00FD3C9E">
            <w:pPr>
              <w:pStyle w:val="TableParagraph"/>
              <w:spacing w:before="0" w:line="229" w:lineRule="exact"/>
              <w:ind w:left="5" w:right="1"/>
              <w:jc w:val="center"/>
              <w:rPr>
                <w:b/>
                <w:sz w:val="20"/>
              </w:rPr>
            </w:pPr>
            <w:r>
              <w:rPr>
                <w:b/>
                <w:sz w:val="20"/>
              </w:rPr>
              <w:t>Article</w:t>
            </w:r>
            <w:r>
              <w:rPr>
                <w:b/>
                <w:spacing w:val="-5"/>
                <w:sz w:val="20"/>
              </w:rPr>
              <w:t xml:space="preserve"> </w:t>
            </w:r>
            <w:r>
              <w:rPr>
                <w:b/>
                <w:spacing w:val="-2"/>
                <w:sz w:val="20"/>
              </w:rPr>
              <w:t>History:</w:t>
            </w:r>
          </w:p>
          <w:p w14:paraId="41564163" w14:textId="77777777" w:rsidR="00427E46" w:rsidRDefault="00FD3C9E">
            <w:pPr>
              <w:pStyle w:val="TableParagraph"/>
              <w:spacing w:before="0" w:line="229" w:lineRule="exact"/>
              <w:ind w:left="5"/>
              <w:jc w:val="center"/>
              <w:rPr>
                <w:sz w:val="20"/>
              </w:rPr>
            </w:pPr>
            <w:r>
              <w:rPr>
                <w:sz w:val="20"/>
              </w:rPr>
              <w:t>Received,</w:t>
            </w:r>
            <w:r>
              <w:rPr>
                <w:spacing w:val="-7"/>
                <w:sz w:val="20"/>
              </w:rPr>
              <w:t xml:space="preserve"> </w:t>
            </w:r>
            <w:r>
              <w:rPr>
                <w:sz w:val="20"/>
              </w:rPr>
              <w:t>14-10-2024;</w:t>
            </w:r>
            <w:r>
              <w:rPr>
                <w:spacing w:val="-9"/>
                <w:sz w:val="20"/>
              </w:rPr>
              <w:t xml:space="preserve"> </w:t>
            </w:r>
            <w:r>
              <w:rPr>
                <w:sz w:val="20"/>
              </w:rPr>
              <w:t>Revised,</w:t>
            </w:r>
            <w:r>
              <w:rPr>
                <w:spacing w:val="-7"/>
                <w:sz w:val="20"/>
              </w:rPr>
              <w:t xml:space="preserve"> </w:t>
            </w:r>
            <w:r>
              <w:rPr>
                <w:sz w:val="20"/>
              </w:rPr>
              <w:t>12-11-2024;</w:t>
            </w:r>
            <w:r>
              <w:rPr>
                <w:spacing w:val="-9"/>
                <w:sz w:val="20"/>
              </w:rPr>
              <w:t xml:space="preserve"> </w:t>
            </w:r>
            <w:r>
              <w:rPr>
                <w:sz w:val="20"/>
              </w:rPr>
              <w:t>Accepted,</w:t>
            </w:r>
            <w:r>
              <w:rPr>
                <w:spacing w:val="-10"/>
                <w:sz w:val="20"/>
              </w:rPr>
              <w:t xml:space="preserve"> </w:t>
            </w:r>
            <w:r>
              <w:rPr>
                <w:sz w:val="20"/>
              </w:rPr>
              <w:t>19-11-</w:t>
            </w:r>
            <w:r>
              <w:rPr>
                <w:spacing w:val="-2"/>
                <w:sz w:val="20"/>
              </w:rPr>
              <w:t>2024.</w:t>
            </w:r>
          </w:p>
        </w:tc>
      </w:tr>
    </w:tbl>
    <w:p w14:paraId="0C06B433" w14:textId="77777777" w:rsidR="00427E46" w:rsidRDefault="00427E46">
      <w:pPr>
        <w:pStyle w:val="BodyText"/>
        <w:spacing w:before="94"/>
        <w:ind w:left="0"/>
        <w:jc w:val="left"/>
        <w:rPr>
          <w:i/>
          <w:sz w:val="20"/>
        </w:rPr>
      </w:pPr>
    </w:p>
    <w:p w14:paraId="3AF0491B" w14:textId="5711C1C7" w:rsidR="004E5658" w:rsidRPr="00D75DD8" w:rsidRDefault="00FD3C9E" w:rsidP="00D75DD8">
      <w:pPr>
        <w:pStyle w:val="Heading1"/>
        <w:numPr>
          <w:ilvl w:val="0"/>
          <w:numId w:val="1"/>
        </w:numPr>
        <w:tabs>
          <w:tab w:val="left" w:pos="4196"/>
        </w:tabs>
        <w:ind w:left="4196" w:hanging="279"/>
        <w:jc w:val="both"/>
      </w:pPr>
      <w:r>
        <w:rPr>
          <w:spacing w:val="-2"/>
        </w:rPr>
        <w:t>Introduction</w:t>
      </w:r>
    </w:p>
    <w:p w14:paraId="5F43DCE9" w14:textId="77777777" w:rsidR="00D75DD8" w:rsidRDefault="00D75DD8" w:rsidP="00D75DD8">
      <w:pPr>
        <w:pStyle w:val="Heading1"/>
        <w:tabs>
          <w:tab w:val="left" w:pos="4196"/>
        </w:tabs>
        <w:ind w:left="4196" w:firstLine="0"/>
      </w:pPr>
    </w:p>
    <w:p w14:paraId="37FB34AB" w14:textId="61800369" w:rsidR="00AD4BF9" w:rsidRDefault="00AD4BF9" w:rsidP="00AD4BF9">
      <w:pPr>
        <w:ind w:firstLine="425"/>
        <w:jc w:val="both"/>
        <w:rPr>
          <w:rFonts w:eastAsia="Cambria"/>
          <w:color w:val="000000"/>
          <w:lang w:val="en-ID"/>
        </w:rPr>
      </w:pPr>
      <w:r>
        <w:t xml:space="preserve">The </w:t>
      </w:r>
      <w:r>
        <w:rPr>
          <w:rFonts w:eastAsia="Cambria"/>
          <w:color w:val="000000" w:themeColor="text1"/>
          <w:lang w:val="en-ID"/>
        </w:rPr>
        <w:t>agricultural sector is a vital part of the Indonesian economy, with many people working as farmers due to the natural conditions that support national economic development. This sector is renowned for producing high-quality agricultural products, making Indonesia known as an agrarian nation with significant capacity in this area</w:t>
      </w:r>
      <w:r w:rsidR="00A67394">
        <w:rPr>
          <w:rFonts w:eastAsia="Cambria"/>
          <w:color w:val="000000" w:themeColor="text1"/>
          <w:lang w:val="en-ID"/>
        </w:rPr>
        <w:t xml:space="preserve"> </w:t>
      </w:r>
      <w:r w:rsidR="00A67394">
        <w:rPr>
          <w:rFonts w:eastAsia="Cambria"/>
          <w:color w:val="000000" w:themeColor="text1"/>
          <w:lang w:val="en-ID"/>
        </w:rPr>
        <w:fldChar w:fldCharType="begin" w:fldLock="1"/>
      </w:r>
      <w:r w:rsidR="00A67394">
        <w:rPr>
          <w:rFonts w:eastAsia="Cambria"/>
          <w:color w:val="000000" w:themeColor="text1"/>
          <w:lang w:val="en-ID"/>
        </w:rPr>
        <w:instrText>ADDIN CSL_CITATION {"citationItems":[{"id":"ITEM-1","itemData":{"abstract":"This study has the objectives of (1) Describe the profile of wetland field, farmers' capital, labor and production in rice farming in Sumengko Village. (2) To analyze the influence of wetland field, farmer's capital, and labor to rice production in Sumengko Village. In the research using quantitative type, sampling technique using Proporsional Area Random Sampling obtained 92 samples. The research variables correlate between dependent and independent variable, dependent variable consists of Wetland Field, Capital and Labor. While the independent variable is Rice Production. The method used is descriptive analysis and multiple linear regression analysis. The result of descriptive research shows that the widest area of paddy fields owned by farmers is0,084-0,697 ha, the most used capital is around Rp. 1.210.000-7.931.000, the most manpower used is about 29-48 people, and the highest Production of Rice produced is 5-47 kw. While the results of research using regression analysis and variable variables hypothesis of wetland, capital and labor positive and significant to rice production in Sumengko Village, Sukomoro Sub-District, Nganjuk Regency","author":[{"dropping-particle":"","family":"Manggala","given":"Ricky Bagus","non-dropping-particle":"","parse-names":false,"suffix":""},{"dropping-particle":"","family":"Boedi","given":"Arfida","non-dropping-particle":"","parse-names":false,"suffix":""}],"container-title":"Jurnal Ilmu Ekonomi","id":"ITEM-1","issued":{"date-parts":[["2018"]]},"page":"441- 452","title":"Faktor-Faktor Yang Mempengaruhi Produksi Padi Di Desa Sumengko Kecamatan Sukomoro Kabupaten Nganjuk","type":"article-journal","volume":"2"},"uris":["http://www.mendeley.com/documents/?uuid=1933bec0-25ce-40fc-a758-4f28bd996abb"]}],"mendeley":{"formattedCitation":"(Manggala &amp; Boedi, 2018)","plainTextFormattedCitation":"(Manggala &amp; Boedi, 2018)","previouslyFormattedCitation":"(Manggala &amp; Boedi, 2018)"},"properties":{"noteIndex":0},"schema":"https://github.com/citation-style-language/schema/raw/master/csl-citation.json"}</w:instrText>
      </w:r>
      <w:r w:rsidR="00A67394">
        <w:rPr>
          <w:rFonts w:eastAsia="Cambria"/>
          <w:color w:val="000000" w:themeColor="text1"/>
          <w:lang w:val="en-ID"/>
        </w:rPr>
        <w:fldChar w:fldCharType="separate"/>
      </w:r>
      <w:r w:rsidR="00A67394" w:rsidRPr="00A67394">
        <w:rPr>
          <w:rFonts w:eastAsia="Cambria"/>
          <w:noProof/>
          <w:color w:val="000000" w:themeColor="text1"/>
          <w:lang w:val="en-ID"/>
        </w:rPr>
        <w:t>(Manggala &amp; Boedi, 2018)</w:t>
      </w:r>
      <w:r w:rsidR="00A67394">
        <w:rPr>
          <w:rFonts w:eastAsia="Cambria"/>
          <w:color w:val="000000" w:themeColor="text1"/>
          <w:lang w:val="en-ID"/>
        </w:rPr>
        <w:fldChar w:fldCharType="end"/>
      </w:r>
      <w:r>
        <w:rPr>
          <w:rFonts w:eastAsia="Cambria"/>
          <w:color w:val="000000" w:themeColor="text1"/>
          <w:lang w:val="en-ID"/>
        </w:rPr>
        <w:t>. Agricultural products significantly impact the Indonesian economy by creating jobs, offering a variety of food choices, helping to alleviate poverty, and generating revenue for the state</w:t>
      </w:r>
      <w:r w:rsidR="00A67394">
        <w:rPr>
          <w:rFonts w:eastAsia="Cambria"/>
          <w:color w:val="000000"/>
          <w:lang w:val="en-ID"/>
        </w:rPr>
        <w:t xml:space="preserve"> </w:t>
      </w:r>
      <w:r w:rsidR="00A67394">
        <w:rPr>
          <w:rFonts w:eastAsia="Cambria"/>
          <w:color w:val="000000"/>
          <w:lang w:val="en-ID"/>
        </w:rPr>
        <w:fldChar w:fldCharType="begin" w:fldLock="1"/>
      </w:r>
      <w:r w:rsidR="00A67394">
        <w:rPr>
          <w:rFonts w:eastAsia="Cambria"/>
          <w:color w:val="000000"/>
          <w:lang w:val="en-ID"/>
        </w:rPr>
        <w:instrText>ADDIN CSL_CITATION {"citationItems":[{"id":"ITEM-1","itemData":{"DOI":"10.31289/agrisains.v2i1.255","abstract":"Palm oil has advantages compared to other vegetable oils such as coconut oil, soybean, or sunflower oil, its production per hectare is high, its economic life is long, and its use varies. This study aims to determine the effect of community palm oil production factors in the village of Tebing Linggahara, West Bilah District, Labuhanbatu Regency. The data used are primary data sourced from 176 oil palm farmers, by providing a questionnaire list. The research model is a quantitative model using multiple linear regression analysis techniques, using the SPSS version 16.0 program. The results showed that land area, seed, fertilizer, labor, plant age, and education level had an influence on palm oil production in Tebing Linggahara Village, West Bilah District, Labuhanbatu Regency, but other sources outside of oil palm farming had an effect on production palm oil for the people. The coefficient of determination R2 = 0.867 can be interpreted that oil palm production of 86.7% can be influenced by land area, seeds, fertilizer, labor, plant age, education level, and other sources outside of oil palm agriculture.","author":[{"dropping-particle":"","family":"Siswanto","given":"Yudi","non-dropping-particle":"","parse-names":false,"suffix":""},{"dropping-particle":"","family":"Lubis","given":"Zulkarnain","non-dropping-particle":"","parse-names":false,"suffix":""},{"dropping-particle":"","family":"Akoeb","given":"Erwin Nyak","non-dropping-particle":"","parse-names":false,"suffix":""}],"container-title":"AGRISAINS: Jurnal Ilmiah Magister Agribisnis","id":"ITEM-1","issue":"1","issued":{"date-parts":[["2020"]]},"page":"60-70","title":"Analisis Faktor-Faktor yang Mempengaruhi Produksi Kelapa Sawit Rakyat di Desa Tebing Linggahara Kecamatan Bilah Barat Kabupaten Labuhanbatu","type":"article-journal","volume":"2"},"uris":["http://www.mendeley.com/documents/?uuid=1a11cc06-bdb9-4996-83bf-31203943825e"]}],"mendeley":{"formattedCitation":"(Siswanto et al., 2020)","plainTextFormattedCitation":"(Siswanto et al., 2020)","previouslyFormattedCitation":"(Siswanto et al., 2020)"},"properties":{"noteIndex":0},"schema":"https://github.com/citation-style-language/schema/raw/master/csl-citation.json"}</w:instrText>
      </w:r>
      <w:r w:rsidR="00A67394">
        <w:rPr>
          <w:rFonts w:eastAsia="Cambria"/>
          <w:color w:val="000000"/>
          <w:lang w:val="en-ID"/>
        </w:rPr>
        <w:fldChar w:fldCharType="separate"/>
      </w:r>
      <w:r w:rsidR="00A67394" w:rsidRPr="00A67394">
        <w:rPr>
          <w:rFonts w:eastAsia="Cambria"/>
          <w:noProof/>
          <w:color w:val="000000"/>
          <w:lang w:val="en-ID"/>
        </w:rPr>
        <w:t>(Siswanto et al., 2020)</w:t>
      </w:r>
      <w:r w:rsidR="00A67394">
        <w:rPr>
          <w:rFonts w:eastAsia="Cambria"/>
          <w:color w:val="000000"/>
          <w:lang w:val="en-ID"/>
        </w:rPr>
        <w:fldChar w:fldCharType="end"/>
      </w:r>
      <w:r>
        <w:rPr>
          <w:rFonts w:eastAsia="Cambria"/>
          <w:color w:val="000000"/>
          <w:lang w:val="en-ID"/>
        </w:rPr>
        <w:t>.</w:t>
      </w:r>
      <w:r>
        <w:rPr>
          <w:rFonts w:eastAsia="Cambria"/>
          <w:color w:val="000000" w:themeColor="text1"/>
          <w:lang w:val="en-ID"/>
        </w:rPr>
        <w:t xml:space="preserve"> Horticultural crops are a crucial component of the agricultural sector. Horticultural crops contribute significantly to ensuring food security and supporting Indonesia's future economic growth</w:t>
      </w:r>
      <w:r w:rsidR="00A67394">
        <w:rPr>
          <w:rFonts w:eastAsia="Cambria"/>
          <w:color w:val="000000"/>
          <w:lang w:val="en-ID"/>
        </w:rPr>
        <w:t xml:space="preserve"> </w:t>
      </w:r>
      <w:r w:rsidR="00A67394">
        <w:rPr>
          <w:rFonts w:eastAsia="Cambria"/>
          <w:color w:val="000000"/>
          <w:lang w:val="en-ID"/>
        </w:rPr>
        <w:fldChar w:fldCharType="begin" w:fldLock="1"/>
      </w:r>
      <w:r w:rsidR="001C4327">
        <w:rPr>
          <w:rFonts w:eastAsia="Cambria"/>
          <w:color w:val="000000"/>
          <w:lang w:val="en-ID"/>
        </w:rPr>
        <w:instrText>ADDIN CSL_CITATION {"citationItems":[{"id":"ITEM-1","itemData":{"DOI":"10.14710/agrisocionomics.v3i2.6099","ISSN":"2580-0566","abstract":"Penelitian ini bertujuan untuk menganalisis faktor-faktor yang mempengaruhi produksi (luas lahan, tenaga kerja, modal, pupuk, pestisida dan benih) terhadap jumlah produksi usahatani buncis di Gabungan Kelompok Tani Lembang Agri. Penelitian ini dilakukan dengan metode survei dan penentuan tempat lokasi penelitian secara purposive. Metode pemilihan sampel dengan proportionate stratified random sampling dengan mengambil sampel dari setiap kelompok tani sehingga sampel yang digunakan berjumlah 65 responden. Analisis yang digunakan adalah fungsi produksi Cobb-Douglas. Hasil penelitian menunjukan bahwa faktor produksi yang berpengaruh nyata terhadap produksi usahatani buncis adalah modal, pestisida dan benih di Gabungan Kelompok Tani Lembang Agri","author":[{"dropping-particle":"","family":"Deviani","given":"Fadilla","non-dropping-particle":"","parse-names":false,"suffix":""},{"dropping-particle":"","family":"Rochdiani","given":"Dini","non-dropping-particle":"","parse-names":false,"suffix":""},{"dropping-particle":"","family":"Saefudin","given":"Bobby Rachmat","non-dropping-particle":"","parse-names":false,"suffix":""}],"container-title":"Agrisocionomics: Jurnal Sosial Ekonomi Pertanian","id":"ITEM-1","issue":"2","issued":{"date-parts":[["2019"]]},"page":"165-173","title":"Analisis Faktor-Faktor Yang Mempengaruhi Produksi Usahatani Buncis Di Gabungan Kelompok Tani Lembang Agri Kabupaten Bandung Barat","type":"article-journal","volume":"3"},"uris":["http://www.mendeley.com/documents/?uuid=fbff0e2a-bc72-4790-9c20-81f63812d484"]}],"mendeley":{"formattedCitation":"(Deviani et al., 2019)","plainTextFormattedCitation":"(Deviani et al., 2019)","previouslyFormattedCitation":"(Deviani et al., 2019)"},"properties":{"noteIndex":0},"schema":"https://github.com/citation-style-language/schema/raw/master/csl-citation.json"}</w:instrText>
      </w:r>
      <w:r w:rsidR="00A67394">
        <w:rPr>
          <w:rFonts w:eastAsia="Cambria"/>
          <w:color w:val="000000"/>
          <w:lang w:val="en-ID"/>
        </w:rPr>
        <w:fldChar w:fldCharType="separate"/>
      </w:r>
      <w:r w:rsidR="00A67394" w:rsidRPr="00A67394">
        <w:rPr>
          <w:rFonts w:eastAsia="Cambria"/>
          <w:noProof/>
          <w:color w:val="000000"/>
          <w:lang w:val="en-ID"/>
        </w:rPr>
        <w:t>(Deviani et al., 2019)</w:t>
      </w:r>
      <w:r w:rsidR="00A67394">
        <w:rPr>
          <w:rFonts w:eastAsia="Cambria"/>
          <w:color w:val="000000"/>
          <w:lang w:val="en-ID"/>
        </w:rPr>
        <w:fldChar w:fldCharType="end"/>
      </w:r>
      <w:r>
        <w:rPr>
          <w:rFonts w:eastAsia="Cambria"/>
          <w:color w:val="000000"/>
          <w:lang w:val="en-ID"/>
        </w:rPr>
        <w:t>.</w:t>
      </w:r>
    </w:p>
    <w:p w14:paraId="033767FA" w14:textId="01377429" w:rsidR="00EB0744" w:rsidRDefault="00EB0744" w:rsidP="00EB0744">
      <w:pPr>
        <w:ind w:firstLine="425"/>
        <w:jc w:val="both"/>
        <w:rPr>
          <w:rFonts w:eastAsia="Cambria"/>
          <w:color w:val="000000" w:themeColor="text1"/>
          <w:lang w:val="en-ID"/>
        </w:rPr>
      </w:pPr>
      <w:r>
        <w:rPr>
          <w:rFonts w:eastAsia="Cambria"/>
          <w:color w:val="000000" w:themeColor="text1"/>
          <w:lang w:val="en-ID"/>
        </w:rPr>
        <w:t xml:space="preserve">Chili plants, particularly cayenne peppers, are a crucial and highly sought-after agricultural commodity in Indonesia. There are around 20 types of chili, but generally Indonesian people only know four types, namely cayenne pepper, large chili, curly chili, and paprika </w:t>
      </w:r>
      <w:r w:rsidR="001C4327">
        <w:rPr>
          <w:rFonts w:eastAsia="Cambria"/>
          <w:color w:val="000000" w:themeColor="text1"/>
          <w:lang w:val="en-ID"/>
        </w:rPr>
        <w:fldChar w:fldCharType="begin" w:fldLock="1"/>
      </w:r>
      <w:r w:rsidR="00E66990">
        <w:rPr>
          <w:rFonts w:eastAsia="Cambria"/>
          <w:color w:val="000000" w:themeColor="text1"/>
          <w:lang w:val="en-ID"/>
        </w:rPr>
        <w:instrText>ADDIN CSL_CITATION {"citationItems":[{"id":"ITEM-1","itemData":{"DOI":"10.22146/veg.63923","ISSN":"2302-7452","abstract":"Cabai merupakan salah satu tanaman hortikultura yang penting di Indonesia. Tanaman asli benua Amerika ini memiliki lebih dari 20 spesies liar dan lima spesies yang umum dibudidayakan, yakni Capsicum frutescens, Capsicum annuum, Capsicum chinense, Capsicum baccatum, dan Capsicum pubescens. Karakterisasi morfologi merupakan kegiatan untuk mengetahui karakter keseluruhan suatu tanaman mulai dari organ vegetatif hingga generatif. Karakterisasi pada organ bunga dan buah penting karena kedua organ tersebut mampu secara jelas membedakan jenis cabai. Tujuan penelitian ini untuk mengidentifikasi karakter morfologi bunga dan buah cabai, menentukan hubungan kekerabatannya, dan mengidentifikasi karakter yang berhubungan dengan potensi hasil cabai. Penelitian ini dilakukan di Pusat Inovasi Agroteknologi (PIAT) Universitas Gadjah Mada, Kalitirto, Berbah, Sleman, Daerah Istimewa Yogyakarta pada bulan Agustus 2019 hingga Maret 2020. Identifikasi dilakukan terhadap 20 aksesi yang disusun dalam Rancangan Acak Lengkap. Hasil penelitian menunjukkan bahwa 20 aksesi cabai memiliki karakter morfologi bunga dan buah yang beragam. Aksesi Chenzo 1 dengan Chenzo 2 merupakan aksesi yang memiliki kekerabatan paling dekat. Karakter morfologi yang berkorelasi dengan bobot total buah per tanaman sebagai potensi hasil cabai adalah diameter mahkota bunga, panjang, diameter, dan bobot per buah cabai.","author":[{"dropping-particle":"","family":"Nisa","given":"Aminatun","non-dropping-particle":"","parse-names":false,"suffix":""},{"dropping-particle":"","family":"Ambarwati","given":"Erlina","non-dropping-particle":"","parse-names":false,"suffix":""}],"container-title":"Vegetalika","id":"ITEM-1","issue":"4","issued":{"date-parts":[["2022","11","29"]]},"page":"280","title":"Keragaman Morfologi Bunga dan Buah Dua Puluh Aksesi Cabai (Capsicum sp.)","type":"article-journal","volume":"11"},"uris":["http://www.mendeley.com/documents/?uuid=b9615043-0185-4fee-96ff-03d3e4b0b4b1"]}],"mendeley":{"formattedCitation":"(Nisa &amp; Ambarwati, 2022)","plainTextFormattedCitation":"(Nisa &amp; Ambarwati, 2022)","previouslyFormattedCitation":"(Nisa &amp; Ambarwati, 2022)"},"properties":{"noteIndex":0},"schema":"https://github.com/citation-style-language/schema/raw/master/csl-citation.json"}</w:instrText>
      </w:r>
      <w:r w:rsidR="001C4327">
        <w:rPr>
          <w:rFonts w:eastAsia="Cambria"/>
          <w:color w:val="000000" w:themeColor="text1"/>
          <w:lang w:val="en-ID"/>
        </w:rPr>
        <w:fldChar w:fldCharType="separate"/>
      </w:r>
      <w:r w:rsidR="001C4327" w:rsidRPr="001C4327">
        <w:rPr>
          <w:rFonts w:eastAsia="Cambria"/>
          <w:noProof/>
          <w:color w:val="000000" w:themeColor="text1"/>
          <w:lang w:val="en-ID"/>
        </w:rPr>
        <w:t>(Nisa &amp; Ambarwati, 2022)</w:t>
      </w:r>
      <w:r w:rsidR="001C4327">
        <w:rPr>
          <w:rFonts w:eastAsia="Cambria"/>
          <w:color w:val="000000" w:themeColor="text1"/>
          <w:lang w:val="en-ID"/>
        </w:rPr>
        <w:fldChar w:fldCharType="end"/>
      </w:r>
      <w:r w:rsidR="001C4327">
        <w:rPr>
          <w:rFonts w:eastAsia="Cambria"/>
          <w:color w:val="000000" w:themeColor="text1"/>
          <w:lang w:val="en-ID"/>
        </w:rPr>
        <w:t xml:space="preserve"> </w:t>
      </w:r>
      <w:r>
        <w:rPr>
          <w:rFonts w:eastAsia="Cambria"/>
          <w:color w:val="000000" w:themeColor="text1"/>
          <w:lang w:val="en-ID"/>
        </w:rPr>
        <w:t xml:space="preserve">West Nusa Tenggara is the second largest province in producing cayenne pepper after East Java </w:t>
      </w:r>
      <w:r w:rsidR="00E66990">
        <w:rPr>
          <w:rFonts w:eastAsia="Cambria"/>
          <w:color w:val="000000" w:themeColor="text1"/>
          <w:lang w:val="en-ID"/>
        </w:rPr>
        <w:fldChar w:fldCharType="begin" w:fldLock="1"/>
      </w:r>
      <w:r w:rsidR="00E66990">
        <w:rPr>
          <w:rFonts w:eastAsia="Cambria"/>
          <w:color w:val="000000" w:themeColor="text1"/>
          <w:lang w:val="en-ID"/>
        </w:rPr>
        <w:instrText>ADDIN CSL_CITATION {"citationItems":[{"id":"ITEM-1","itemData":{"DOI":"10.32938/ag.v4i3.843","ISSN":"2502-1710","abstract":"Penelitian ini bertujuan untuk 1) menganalisis faktor-faktor yang mempengaruhi permintaan beras Indonesia; dan 2) menganalisis respon permintaan beras dari faktor-faktor yang mempengaruhinya. Data pada penelitian ini menggunakan data time series periode 1988-2017. Analisis data menggunakan metode analisis regresi linear. Hasil penelitian menunjukan bahwa Permintaan beras Indonesia dipengaruhi oleh harga beras eceran, pendapatan perkapita, jumlah penduduk, produksi beras dan lag permintaan beras Indonesia pada taraf α sebesar 5 persen dengan nilai R-Squared sebesar 91.3 persen. Berdasarkan analisis respon, variabel jumlah penduduk menjadi satu-satunya variabel bebas yang memiliki nilai elastisitas yang bersifat elastis (E &gt;1) baik dalam analisis jangka pendek maupun jangka panjang. Variabel harga beras eceran, pendapatan perkapita dan produksi beras memiliki nilai elastisitas yang bersifat inelastis (E&lt;1) baik dalam analisa jangka pendek maupun jangka panjang.","author":[{"dropping-particle":"","family":"Septiadi","given":"Dudi","non-dropping-particle":"","parse-names":false,"suffix":""},{"dropping-particle":"","family":"Joka","given":"Umbu","non-dropping-particle":"","parse-names":false,"suffix":""}],"container-title":"AGRIMOR","id":"ITEM-1","issue":"3","issued":{"date-parts":[["2019","7","31"]]},"page":"42-44","title":"Analisis Respon dan Faktor-Faktor yang Mempengaruhi Permintaan Beras Indonesia","type":"article-journal","volume":"4"},"uris":["http://www.mendeley.com/documents/?uuid=1af375dc-d299-432e-9755-4e5841851707"]}],"mendeley":{"formattedCitation":"(Septiadi &amp; Joka, 2019)","plainTextFormattedCitation":"(Septiadi &amp; Joka, 2019)","previouslyFormattedCitation":"(Septiadi &amp; Joka, 2019)"},"properties":{"noteIndex":0},"schema":"https://github.com/citation-style-language/schema/raw/master/csl-citation.json"}</w:instrText>
      </w:r>
      <w:r w:rsidR="00E66990">
        <w:rPr>
          <w:rFonts w:eastAsia="Cambria"/>
          <w:color w:val="000000" w:themeColor="text1"/>
          <w:lang w:val="en-ID"/>
        </w:rPr>
        <w:fldChar w:fldCharType="separate"/>
      </w:r>
      <w:r w:rsidR="00E66990" w:rsidRPr="00E66990">
        <w:rPr>
          <w:rFonts w:eastAsia="Cambria"/>
          <w:noProof/>
          <w:color w:val="000000" w:themeColor="text1"/>
          <w:lang w:val="en-ID"/>
        </w:rPr>
        <w:t>(Septiadi &amp; Joka, 2019)</w:t>
      </w:r>
      <w:r w:rsidR="00E66990">
        <w:rPr>
          <w:rFonts w:eastAsia="Cambria"/>
          <w:color w:val="000000" w:themeColor="text1"/>
          <w:lang w:val="en-ID"/>
        </w:rPr>
        <w:fldChar w:fldCharType="end"/>
      </w:r>
      <w:r>
        <w:rPr>
          <w:rFonts w:eastAsia="Cambria"/>
          <w:color w:val="000000" w:themeColor="text1"/>
          <w:lang w:val="en-ID"/>
        </w:rPr>
        <w:t xml:space="preserve"> In 2021, NTB province succeeded in producing 62,539 tons of cayenne pepper</w:t>
      </w:r>
      <w:r w:rsidR="00E66990">
        <w:rPr>
          <w:rFonts w:eastAsia="Cambria"/>
          <w:color w:val="000000" w:themeColor="text1"/>
          <w:lang w:val="en-ID"/>
        </w:rPr>
        <w:t xml:space="preserve"> </w:t>
      </w:r>
      <w:r w:rsidR="00E66990">
        <w:rPr>
          <w:rFonts w:eastAsia="Cambria"/>
          <w:color w:val="000000" w:themeColor="text1"/>
          <w:lang w:val="en-ID"/>
        </w:rPr>
        <w:fldChar w:fldCharType="begin" w:fldLock="1"/>
      </w:r>
      <w:r w:rsidR="00A62880">
        <w:rPr>
          <w:rFonts w:eastAsia="Cambria"/>
          <w:color w:val="000000" w:themeColor="text1"/>
          <w:lang w:val="en-ID"/>
        </w:rPr>
        <w:instrText>ADDIN CSL_CITATION {"citationItems":[{"id":"ITEM-1","itemData":{"DOI":"10.35194/agri.v6i1.4225","ISSN":"2723-6455","abstract":"The research aims to: (1) Analyze production factors that influence the production of cayenne pepper farming in Sakra District, East Lombok Regency; (2) Analyzing the efficiency of using production factors in cayenne pepper farming in Sakra District, East Lombok Regency. The method used is a descriptive method, while data collection was carried out using survey techniques on a sample of 30 respondents. Data were analyzed descriptively quantitatively, using the Cobb-Douglas model regression function. The results of the research show that: (1) Production factors that have a positive influence on the production of cayenne pepper farming in Sakra District, East Lombok Regency include land area, seeds, urea fertilizer, NPK, and pesticides, meanwhile. Production factors that were declared to have no effect included the variables SP-36 fertilizer and labor; (2) The use of production factors (input) for cayenne pepper in Sakra District, East Lombok Regency, in the form of land area, Urea, NPK, SP-36, and pesticides is not yet efficient (its use is still insufficient), while the use of production factors in the form of seeds and labor is not efficient (excessive). ","author":[{"dropping-particle":"","family":"Yusuf","given":"Muhammad","non-dropping-particle":"","parse-names":false,"suffix":""},{"dropping-particle":"","family":"Septiadi","given":"Dudi","non-dropping-particle":"","parse-names":false,"suffix":""}],"container-title":"AGRITA (AGri)","id":"ITEM-1","issue":"1","issued":{"date-parts":[["2024"]]},"page":"63","title":"Efisiensi Penggunaan Faktor Produksi Pada Usahatani Cabai Rawit Di Kecamatan Sakra Kabupaten Lombok Timur","type":"article-journal","volume":"6"},"uris":["http://www.mendeley.com/documents/?uuid=1dcffa71-2010-463d-8da0-6032a670251b"]}],"mendeley":{"formattedCitation":"(Yusuf &amp; Septiadi, 2024)","plainTextFormattedCitation":"(Yusuf &amp; Septiadi, 2024)","previouslyFormattedCitation":"(Yusuf &amp; Septiadi, 2024)"},"properties":{"noteIndex":0},"schema":"https://github.com/citation-style-language/schema/raw/master/csl-citation.json"}</w:instrText>
      </w:r>
      <w:r w:rsidR="00E66990">
        <w:rPr>
          <w:rFonts w:eastAsia="Cambria"/>
          <w:color w:val="000000" w:themeColor="text1"/>
          <w:lang w:val="en-ID"/>
        </w:rPr>
        <w:fldChar w:fldCharType="separate"/>
      </w:r>
      <w:r w:rsidR="00E66990" w:rsidRPr="00E66990">
        <w:rPr>
          <w:rFonts w:eastAsia="Cambria"/>
          <w:noProof/>
          <w:color w:val="000000" w:themeColor="text1"/>
          <w:lang w:val="en-ID"/>
        </w:rPr>
        <w:t>(Yusuf &amp; Septiadi, 2024)</w:t>
      </w:r>
      <w:r w:rsidR="00E66990">
        <w:rPr>
          <w:rFonts w:eastAsia="Cambria"/>
          <w:color w:val="000000" w:themeColor="text1"/>
          <w:lang w:val="en-ID"/>
        </w:rPr>
        <w:fldChar w:fldCharType="end"/>
      </w:r>
      <w:r w:rsidR="00E66990">
        <w:rPr>
          <w:rFonts w:eastAsia="Cambria"/>
          <w:color w:val="000000" w:themeColor="text1"/>
          <w:lang w:val="en-ID"/>
        </w:rPr>
        <w:t xml:space="preserve">. </w:t>
      </w:r>
      <w:r>
        <w:rPr>
          <w:rFonts w:eastAsia="Cambria"/>
          <w:color w:val="000000" w:themeColor="text1"/>
          <w:lang w:val="en-ID"/>
        </w:rPr>
        <w:t>This high production reflects NTB's important contribution in ensuring the availability of chili at the national level and supporting the welfare of farmers.</w:t>
      </w:r>
    </w:p>
    <w:p w14:paraId="7F9C8F86" w14:textId="186E8CE3" w:rsidR="00EB0744" w:rsidRDefault="00EB0744" w:rsidP="00EB0744">
      <w:pPr>
        <w:ind w:firstLine="425"/>
        <w:jc w:val="both"/>
        <w:rPr>
          <w:rFonts w:eastAsia="Calibri"/>
          <w:lang w:val="id-ID"/>
        </w:rPr>
      </w:pPr>
      <w:r>
        <w:t xml:space="preserve">According to information from the West Nusa Tenggara Provincial </w:t>
      </w:r>
      <w:proofErr w:type="spellStart"/>
      <w:r>
        <w:t>Goverment</w:t>
      </w:r>
      <w:proofErr w:type="spellEnd"/>
      <w:r>
        <w:t xml:space="preserve"> </w:t>
      </w:r>
      <w:r w:rsidR="00A62880">
        <w:fldChar w:fldCharType="begin" w:fldLock="1"/>
      </w:r>
      <w:r w:rsidR="00A62880">
        <w:instrText>ADDIN CSL_CITATION {"citationItems":[{"id":"ITEM-1","itemData":{"author":[{"dropping-particle":"","family":"Dupayana","given":"I Putu Wahyu","non-dropping-particle":"","parse-names":false,"suffix":""},{"dropping-particle":"","family":"Anang","given":"Yunarso","non-dropping-particle":"","parse-names":false,"suffix":""}],"id":"ITEM-1","issued":{"date-parts":[["2024"]]},"page":"499-510","title":"Pembangunan Sistem Informasi Manajemen Agenda Kegiatan Berbasis Web di BPS Provinsi Nusa Tenggara Barat (Development of a Web-Based Activity Agenda Management Information System at Statistics of Nusa Tenggara Barat Province)","type":"article-journal"},"uris":["http://www.mendeley.com/documents/?uuid=5ee353cf-b6fa-4345-a444-d0b9eaf4101e"]}],"mendeley":{"formattedCitation":"(Dupayana &amp; Anang, 2024)","plainTextFormattedCitation":"(Dupayana &amp; Anang, 2024)","previouslyFormattedCitation":"(Dupayana &amp; Anang, 2024)"},"properties":{"noteIndex":0},"schema":"https://github.com/citation-style-language/schema/raw/master/csl-citation.json"}</w:instrText>
      </w:r>
      <w:r w:rsidR="00A62880">
        <w:fldChar w:fldCharType="separate"/>
      </w:r>
      <w:r w:rsidR="00A62880" w:rsidRPr="00A62880">
        <w:rPr>
          <w:noProof/>
        </w:rPr>
        <w:t>(Dupayana &amp; Anang, 2024)</w:t>
      </w:r>
      <w:r w:rsidR="00A62880">
        <w:fldChar w:fldCharType="end"/>
      </w:r>
      <w:r>
        <w:t xml:space="preserve"> the amount of cayenne pepper produced in various districts and cities varies from 2013 to 2024. In 2013, cayenne pepper production in NTB averaged 35,326 quintals. This production then increased and reached its highest point in 2018, with an average of 210,530 quintals per region. However, in 2022, production dropped significantly to around 50,078 quintals, before rising again to around 102,846 quintals in 2024. In addition, there are quite large differences between regions, where some regions can produce more than 160,000 quintals, while other regions only produce around 5,000 quintals. This increase can be attributed to chili production to meet domestic consumption needs as well as </w:t>
      </w:r>
      <w:proofErr w:type="spellStart"/>
      <w:r>
        <w:t>as</w:t>
      </w:r>
      <w:proofErr w:type="spellEnd"/>
      <w:r>
        <w:t xml:space="preserve"> an export commodity</w:t>
      </w:r>
      <w:r w:rsidR="00A62880" w:rsidRPr="00A62880">
        <w:rPr>
          <w:color w:val="000000"/>
        </w:rPr>
        <w:t xml:space="preserve"> </w:t>
      </w:r>
      <w:r w:rsidR="00A62880">
        <w:rPr>
          <w:color w:val="000000"/>
        </w:rPr>
        <w:fldChar w:fldCharType="begin" w:fldLock="1"/>
      </w:r>
      <w:r w:rsidR="00826D15">
        <w:rPr>
          <w:color w:val="000000"/>
        </w:rPr>
        <w:instrText>ADDIN CSL_CITATION {"citationItems":[{"id":"ITEM-1","itemData":{"DOI":"10.1088/1755-1315/575/1/012109","ISSN":"1755-1307","abstract":"This study aims to study the effect of various concentration of biological fertilizers and NPK dosages on the growth and production of cayenne pepper. The study was conducted at the Experimental Farm of the Faculty of Agriculture, Hasanuddin University, Makassar, from January to April 2019. The study was set as a two-factor factorial experiment using a randomized block design. The first factor was the concentration of the biological fertilizers, consisted of 0, 5, 10, and 15 mL L −1 water. The second factor was the NPK fertilizer dosages, consisted of 0, 2, and 4 g per plant. The results show that the interaction between the application of 10 ml L −1 water of the biological fertilizer and NPK fertilizer dosage of 4 g per plant resulted in the highest number of productive branches (50.78 branches) and production (1.17 tons ha −1 ). Application of the biological fertilizer of 5 mL L −1 water and NPK fertilizer dosage of 2 g per plant at the age of 15 days after planting (DAP) tended to provide the highest average plant height (13.94 cm), but higher concentration and dosage of 10 mL L −1 water and 4 g per plant of bio-fertilizer and NPK, respectively, resulted in the highest plant at the 35 DAP (33.78 cm). The application of 2 g per plant NPK fertilizer gave the highest yield on the number of fruits per plant (68.00 fruits), and the weight of fruits per plant (64.14 g).","author":[{"dropping-particle":"","family":"Mantja","given":"Katriani","non-dropping-particle":"","parse-names":false,"suffix":""},{"dropping-particle":"","family":"Haring","given":"Feranita","non-dropping-particle":"","parse-names":false,"suffix":""},{"dropping-particle":"","family":"Mahendra","given":"Wayan Y","non-dropping-particle":"","parse-names":false,"suffix":""},{"dropping-particle":"","family":"Syam’un","given":"Elkawakib","non-dropping-particle":"","parse-names":false,"suffix":""},{"dropping-particle":"","family":"Asrul","given":"Laode","non-dropping-particle":"","parse-names":false,"suffix":""},{"dropping-particle":"","family":"Sahur","given":"Asmiaty","non-dropping-particle":"","parse-names":false,"suffix":""},{"dropping-particle":"","family":"Ridwan","given":"Ifayanti","non-dropping-particle":"","parse-names":false,"suffix":""}],"container-title":"IOP Conference Series: Earth and Environmental Science","id":"ITEM-1","issue":"1","issued":{"date-parts":[["2020","10","1"]]},"page":"012109","title":"Growth and Production of Cayenne Pepper (Capsicum Frutescens L.) on Various Concentrations of Bio-Fertilizer and NPK Fertilizer","type":"article-journal","volume":"575"},"uris":["http://www.mendeley.com/documents/?uuid=472e014f-ff97-4d2e-b494-d0961d0ccb01"]}],"mendeley":{"formattedCitation":"(Mantja et al., 2020)","plainTextFormattedCitation":"(Mantja et al., 2020)","previouslyFormattedCitation":"(Mantja et al., 2020)"},"properties":{"noteIndex":0},"schema":"https://github.com/citation-style-language/schema/raw/master/csl-citation.json"}</w:instrText>
      </w:r>
      <w:r w:rsidR="00A62880">
        <w:rPr>
          <w:color w:val="000000"/>
        </w:rPr>
        <w:fldChar w:fldCharType="separate"/>
      </w:r>
      <w:r w:rsidR="00A62880" w:rsidRPr="00A62880">
        <w:rPr>
          <w:noProof/>
          <w:color w:val="000000"/>
        </w:rPr>
        <w:t>(Mantja et al., 2020)</w:t>
      </w:r>
      <w:r w:rsidR="00A62880">
        <w:rPr>
          <w:color w:val="000000"/>
        </w:rPr>
        <w:fldChar w:fldCharType="end"/>
      </w:r>
      <w:r>
        <w:t xml:space="preserve">  This indicates that several factors influence cayenne pepper yields in NTB.</w:t>
      </w:r>
    </w:p>
    <w:p w14:paraId="343B003E" w14:textId="4987CDB7" w:rsidR="00EB0744" w:rsidRDefault="00EB0744" w:rsidP="00EB0744">
      <w:pPr>
        <w:ind w:firstLine="425"/>
        <w:jc w:val="both"/>
      </w:pPr>
      <w:r>
        <w:lastRenderedPageBreak/>
        <w:t xml:space="preserve">The most significant factor influencing cayenne pepper production is labor. However, the use of drugs in production has a negative regression coefficient, meaning that the more drugs used, the lower the cayenne pepper yield. </w:t>
      </w:r>
      <w:r w:rsidR="00826D15">
        <w:fldChar w:fldCharType="begin" w:fldLock="1"/>
      </w:r>
      <w:r w:rsidR="00826D15">
        <w:instrText>ADDIN CSL_CITATION {"citationItems":[{"id":"ITEM-1","itemData":{"DOI":"10.29103/ag.v8i2.12560","ISSN":"2548-3439","abstract":"Cayenne pepper is a leading commodity in Indonesia. Therefore, the amount of cayenne pepper production needs to be studied properly, including how to optimize its production through the factors that affect the amount of production. This study aims to analyze the factors that influence the amount of cayenne pepper production in Kuripan District, West Lombok Regency. The method used in this research is descriptive method involving 30 respondents. Data is collected through direct survey method. Data analysis was performed using descriptive analysis and multiple linear regression analysis. The data collected was in the form of the amount of cayenne pepper production, the area of cultivated land, the length of farming experience, the number of workers owned, the number of family members supported, the number of seeds and the amount of fertilizer used. The results showed that the six factors used, namely arable land area, length of farming experience, a lot of labor owned, a lot of dependants, a lot of seeds and a lot of fertilizer simultaneously affect the amount of cayenne pepper production. The factors that partially influence the amount of cayenne pepper production are the area of arable land and the number of family dependents.","author":[{"dropping-particle":"","family":"Febrilia","given":"Baiq Rika Ayu","non-dropping-particle":"","parse-names":false,"suffix":""},{"dropping-particle":"","family":"Sari","given":"Ni Made Wirastika","non-dropping-particle":"","parse-names":false,"suffix":""},{"dropping-particle":"","family":"Danasari","given":"Idiatul Fitri","non-dropping-particle":"","parse-names":false,"suffix":""},{"dropping-particle":"","family":"Vijaya","given":"Ni Putu Sephia Ananda","non-dropping-particle":"","parse-names":false,"suffix":""}],"container-title":"Agrifo : Jurnal Agribisnis Universitas Malikussaleh","id":"ITEM-1","issue":"2","issued":{"date-parts":[["2023"]]},"page":"10","title":"Analisis Faktor-Faktor yang Mempengaruhi Produksi Cabai Rawit di Kecamatan Kediri Kabupaten Lombok Barat","type":"article-journal","volume":"8"},"uris":["http://www.mendeley.com/documents/?uuid=507e0283-7fca-4d3b-8d0a-482c8c09e7b4"]}],"mendeley":{"formattedCitation":"(Febrilia et al., 2023)","plainTextFormattedCitation":"(Febrilia et al., 2023)","previouslyFormattedCitation":"(Febrilia et al., 2023)"},"properties":{"noteIndex":0},"schema":"https://github.com/citation-style-language/schema/raw/master/csl-citation.json"}</w:instrText>
      </w:r>
      <w:r w:rsidR="00826D15">
        <w:fldChar w:fldCharType="separate"/>
      </w:r>
      <w:r w:rsidR="00826D15" w:rsidRPr="00826D15">
        <w:rPr>
          <w:noProof/>
        </w:rPr>
        <w:t>(Febrilia et al., 2023)</w:t>
      </w:r>
      <w:r w:rsidR="00826D15">
        <w:fldChar w:fldCharType="end"/>
      </w:r>
      <w:r w:rsidR="00826D15">
        <w:rPr>
          <w:color w:val="000000"/>
        </w:rPr>
        <w:t xml:space="preserve"> </w:t>
      </w:r>
      <w:r>
        <w:t>In West Nusa Tenggara, the amount of cayenne pepper produced is influenced by the size of the land used for planting. Generally, the larger the planted area, the greater the yield. For example, East Lombok Regency has the largest cayenne pepper harvest area in NTB, namely 6,531.07 hectares, with a total yield of 648,588.02 quintals. Meanwhile, North Lombok Regency only has a harvested area of ​​539.53 hectares, but its production is recorded at 162,422.16 quintal</w:t>
      </w:r>
      <w:r w:rsidR="00826D15">
        <w:t xml:space="preserve"> </w:t>
      </w:r>
      <w:r w:rsidR="00826D15">
        <w:fldChar w:fldCharType="begin" w:fldLock="1"/>
      </w:r>
      <w:r w:rsidR="00DB0120">
        <w:instrText>ADDIN CSL_CITATION {"citationItems":[{"id":"ITEM-1","itemData":{"abstract":"Fifty years of controversy have established the Hawthorne Experiments at the Western Electric Co in Chicago, Ill, as industrial sociology's most durable legend &amp; Elton Mayo as one of its most enigmatic figures. The precise part played by Mayo has been the subject of widely different interpretations both favorable &amp; unfavorable. New evidence from his personal papers &amp; from the Hawthorne archives support the view that his was a central role in developing as well as publicizing the experiments. This view is confirmed by new information about (1) the frequency &amp; duration of his visits to the plant, (2) his close collaboration with Western Electric executives, &amp; (3) his part in the presentation &amp; publication of the results. 37 References. HA","author":[{"dropping-particle":"","family":"Setyo","given":"Rizki","non-dropping-particle":"","parse-names":false,"suffix":""},{"dropping-particle":"","family":"Ahmadi","given":"N U R","non-dropping-particle":"","parse-names":false,"suffix":""},{"dropping-particle":"","family":"Studi","given":"Program","non-dropping-particle":"","parse-names":false,"suffix":""},{"dropping-particle":"","family":"Industri","given":"Teknik","non-dropping-particle":"","parse-names":false,"suffix":""},{"dropping-particle":"","family":"Teknik","given":"Fakultas","non-dropping-particle":"","parse-names":false,"suffix":""},{"dropping-particle":"","family":"Surakarta","given":"Universitas Muhammadiyah","non-dropping-particle":"","parse-names":false,"suffix":""}],"id":"ITEM-1","issued":{"date-parts":[["2003"]]},"page":"147-173","title":"Respon Pemberian Pupuk MKP dan Jarak Tanam Terhadap Pertumbuhan dan Produksi Cabai Rawit (Capsicum frustescens L.).","type":"article-journal"},"uris":["http://www.mendeley.com/documents/?uuid=45630134-0a32-424b-b635-0832c8669509"]}],"mendeley":{"formattedCitation":"(Setyo et al., 2003)","plainTextFormattedCitation":"(Setyo et al., 2003)","previouslyFormattedCitation":"(Setyo et al., 2003)"},"properties":{"noteIndex":0},"schema":"https://github.com/citation-style-language/schema/raw/master/csl-citation.json"}</w:instrText>
      </w:r>
      <w:r w:rsidR="00826D15">
        <w:fldChar w:fldCharType="separate"/>
      </w:r>
      <w:r w:rsidR="00826D15" w:rsidRPr="00826D15">
        <w:rPr>
          <w:noProof/>
        </w:rPr>
        <w:t>(Setyo et al., 2003)</w:t>
      </w:r>
      <w:r w:rsidR="00826D15">
        <w:fldChar w:fldCharType="end"/>
      </w:r>
      <w:r>
        <w:t xml:space="preserve"> </w:t>
      </w:r>
      <w:r w:rsidR="00826D15">
        <w:t>a</w:t>
      </w:r>
      <w:r>
        <w:t xml:space="preserve">lthough the harvested area in North Lombok is much smaller, the harvest results there show that success is not only determined by the size of the land, but also by other factors such as management and farming methods. This shows that increasing crop yields does not only depend on the size of the land, but also on how good and efficient the farming methods used are </w:t>
      </w:r>
      <w:r w:rsidR="00DB0120">
        <w:fldChar w:fldCharType="begin" w:fldLock="1"/>
      </w:r>
      <w:r w:rsidR="00744962">
        <w:instrText>ADDIN CSL_CITATION {"citationItems":[{"id":"ITEM-1","itemData":{"DOI":"10.29303/saintek.v6i1.925","abstract":"Penelitian ini bertujuan untuk : 1) Mengetahui besarnya biaya yang dikeluarkan dalam kegiatan usahatani cabai rawit di Kecamatan Suralaga, Kabupaten Lombok Timur; dan 2) Menganalisis efisiensi usahatani cabai rawit di Kecamatan Suralaga, Kabupaten Lombok Timur. Penelitian ini dilaksanakan selama 6 (enam) bulan, mulai bulan Mei hingga Oktober 2023 di Kecamatan Suralaga, Kabupaten Lombok Timur. Responden penelitian ini adalah petani yang melaksanakan usahatani cabai rawit yang ditentukan secara kuota sampling sebanyak 50 responden (2% dari populasi petani cabai rawit sebanyak 2443 orang). Penelitian ini menggunakan  metode deskriptif dan pengumpulan data menggunakan teknik survei. Hasil penelitian menunjukkan : 1) Biaya usahatani cabai rawit ini meliputi biaya tetap sebesar Rp Rp 29.096.000 per hektar dan biaya variabel sebesar Rp 39.820.000 per hektar dan 2) Usahatani cabai rawit di Kecamatan Suralaga sangat efisien untuk dikembangkan karena diperoleh nilai R/C ratio sebesar 2,29 (R/C ratio &gt; 1).","author":[{"dropping-particle":"","family":"Fadli","given":"Fadli","non-dropping-particle":"","parse-names":false,"suffix":""},{"dropping-particle":"","family":"Nursan","given":"Muhammad","non-dropping-particle":"","parse-names":false,"suffix":""},{"dropping-particle":"","family":"Yusuf","given":"M.","non-dropping-particle":"","parse-names":false,"suffix":""}],"container-title":"Prosiding SAINTEK","id":"ITEM-1","issue":"November 2023","issued":{"date-parts":[["2024"]]},"page":"110-118","title":"Analisis Efisiensi Usahatani Cabai Rawit Di Kecamatan Suralaga Kabupaten Lombok Timur","type":"article-journal","volume":"6"},"uris":["http://www.mendeley.com/documents/?uuid=fdab6842-8029-4356-89bb-8d9766ac89b8"]}],"mendeley":{"formattedCitation":"(Fadli et al., 2024)","plainTextFormattedCitation":"(Fadli et al., 2024)","previouslyFormattedCitation":"(Fadli et al., 2024)"},"properties":{"noteIndex":0},"schema":"https://github.com/citation-style-language/schema/raw/master/csl-citation.json"}</w:instrText>
      </w:r>
      <w:r w:rsidR="00DB0120">
        <w:fldChar w:fldCharType="separate"/>
      </w:r>
      <w:r w:rsidR="00DB0120" w:rsidRPr="00DB0120">
        <w:rPr>
          <w:noProof/>
        </w:rPr>
        <w:t>(Fadli et al., 2024)</w:t>
      </w:r>
      <w:r w:rsidR="00DB0120">
        <w:fldChar w:fldCharType="end"/>
      </w:r>
      <w:r>
        <w:t>.</w:t>
      </w:r>
    </w:p>
    <w:p w14:paraId="56851EF7" w14:textId="2BA2C974" w:rsidR="00EB0744" w:rsidRDefault="00EB0744" w:rsidP="00EB0744">
      <w:pPr>
        <w:ind w:firstLine="425"/>
        <w:jc w:val="both"/>
      </w:pPr>
      <w:r>
        <w:t xml:space="preserve">However, if efforts are not made to increase the use of technology and efficiency in growing cayenne pepper, the differences in yields between farmers and regions in NTB will increase. This could lead to economic inequality and unstable chili prices in local and national markets. As a result, both farmers and consumers will face losses. </w:t>
      </w:r>
      <w:r w:rsidR="00744962">
        <w:fldChar w:fldCharType="begin" w:fldLock="1"/>
      </w:r>
      <w:r w:rsidR="008C407E">
        <w:instrText>ADDIN CSL_CITATION {"citationItems":[{"id":"ITEM-1","itemData":{"DOI":"10.33512/jat.v12i1.5535","ISSN":"1979-4991","abstract":"Cabai merah mendapatkan perhatian dari berbagai kalangan karena harganya yang berfluktuasi sehingga menyebabkan inflasi. Hal ini menyebabkan efek domino yang menyebabkan kegagalan pasar. Stabilisasi harga melalui kebijakan pemerintah merupakan salah satu cara untuk mengatasi kegagalan pasar. Penelitian ini bertujuan untuk menganalisis volatilitas harga dan menganalisis dampak penentuan harga referensi terhadap tingkat pembelian pada petani dan penjualan terhadap konsumen pada cabai merah keriting dan cabai merah besar. Analisis ini menggunakan model ARCH GARCH. Berdasarkan hasil analisis, volatilitas harga dari cabai merah keriting dipengaruhi oleh volatilitas satu periode sebelumnya dan varian satu periode sebelumnya. Penerapan kebijakan penentuan harga referensi untuk pembelian petani dan harga referensi untuk penjualan terhadap konsumen menyebabkan volatilitas harga dari cabai merah keriting dan cabai merah besar setelah kebijakan menjadi konstan sampai akhir periode analisis. Kata","author":[{"dropping-particle":"","family":"Preciosa","given":"Yovita Nyssa","non-dropping-particle":"","parse-names":false,"suffix":""},{"dropping-particle":"","family":"Sariyoga","given":"Setiawan","non-dropping-particle":"","parse-names":false,"suffix":""},{"dropping-particle":"","family":"Sari","given":"Ratna Mega","non-dropping-particle":"","parse-names":false,"suffix":""}],"container-title":"Jurnal Agribisnis Terpadu","id":"ITEM-1","issue":"1","issued":{"date-parts":[["2019"]]},"page":"59","title":"Dampak Kebijakan Penetapan Harga Acuan Terhadap Volatilitas Harga Cabai Besar Di Indonesia","type":"article-journal","volume":"12"},"uris":["http://www.mendeley.com/documents/?uuid=88dfefe8-56a5-4a3c-ad09-bf594e26183a"]}],"mendeley":{"formattedCitation":"(Preciosa et al., 2019)","plainTextFormattedCitation":"(Preciosa et al., 2019)","previouslyFormattedCitation":"(Preciosa et al., 2019)"},"properties":{"noteIndex":0},"schema":"https://github.com/citation-style-language/schema/raw/master/csl-citation.json"}</w:instrText>
      </w:r>
      <w:r w:rsidR="00744962">
        <w:fldChar w:fldCharType="separate"/>
      </w:r>
      <w:r w:rsidR="00744962" w:rsidRPr="00744962">
        <w:rPr>
          <w:noProof/>
        </w:rPr>
        <w:t>(Preciosa et al., 2019)</w:t>
      </w:r>
      <w:r w:rsidR="00744962">
        <w:fldChar w:fldCharType="end"/>
      </w:r>
      <w:r w:rsidR="00744962">
        <w:t xml:space="preserve"> </w:t>
      </w:r>
      <w:r>
        <w:t xml:space="preserve">If this situation continues, regions with extensive land but not yet using technology will remain behind, while regions with advanced cultivation methods will be unable to fully develop. </w:t>
      </w:r>
      <w:r w:rsidR="008C407E">
        <w:fldChar w:fldCharType="begin" w:fldLock="1"/>
      </w:r>
      <w:r w:rsidR="008C407E">
        <w:instrText>ADDIN CSL_CITATION {"citationItems":[{"id":"ITEM-1","itemData":{"DOI":"10.33512/jat.v12i1.5535","ISSN":"1979-4991","abstract":"Cabai merah mendapatkan perhatian dari berbagai kalangan karena harganya yang berfluktuasi sehingga menyebabkan inflasi. Hal ini menyebabkan efek domino yang menyebabkan kegagalan pasar. Stabilisasi harga melalui kebijakan pemerintah merupakan salah satu cara untuk mengatasi kegagalan pasar. Penelitian ini bertujuan untuk menganalisis volatilitas harga dan menganalisis dampak penentuan harga referensi terhadap tingkat pembelian pada petani dan penjualan terhadap konsumen pada cabai merah keriting dan cabai merah besar. Analisis ini menggunakan model ARCH GARCH. Berdasarkan hasil analisis, volatilitas harga dari cabai merah keriting dipengaruhi oleh volatilitas satu periode sebelumnya dan varian satu periode sebelumnya. Penerapan kebijakan penentuan harga referensi untuk pembelian petani dan harga referensi untuk penjualan terhadap konsumen menyebabkan volatilitas harga dari cabai merah keriting dan cabai merah besar setelah kebijakan menjadi konstan sampai akhir periode analisis. Kata","author":[{"dropping-particle":"","family":"Preciosa","given":"Yovita Nyssa","non-dropping-particle":"","parse-names":false,"suffix":""},{"dropping-particle":"","family":"Sariyoga","given":"Setiawan","non-dropping-particle":"","parse-names":false,"suffix":""},{"dropping-particle":"","family":"Sari","given":"Ratna Mega","non-dropping-particle":"","parse-names":false,"suffix":""}],"container-title":"Jurnal Agribisnis Terpadu","id":"ITEM-1","issue":"1","issued":{"date-parts":[["2019"]]},"page":"59","title":"Dampak Kebijakan Penetapan Harga Acuan Terhadap Volatilitas Harga Cabai Besar Di Indonesia","type":"article-journal","volume":"12"},"uris":["http://www.mendeley.com/documents/?uuid=88dfefe8-56a5-4a3c-ad09-bf594e26183a"]}],"mendeley":{"formattedCitation":"(Preciosa et al., 2019)","plainTextFormattedCitation":"(Preciosa et al., 2019)","previouslyFormattedCitation":"(Preciosa et al., 2019)"},"properties":{"noteIndex":0},"schema":"https://github.com/citation-style-language/schema/raw/master/csl-citation.json"}</w:instrText>
      </w:r>
      <w:r w:rsidR="008C407E">
        <w:fldChar w:fldCharType="separate"/>
      </w:r>
      <w:r w:rsidR="008C407E" w:rsidRPr="008C407E">
        <w:rPr>
          <w:noProof/>
        </w:rPr>
        <w:t>(Preciosa et al., 2019)</w:t>
      </w:r>
      <w:r w:rsidR="008C407E">
        <w:fldChar w:fldCharType="end"/>
      </w:r>
      <w:r w:rsidR="008C407E">
        <w:t xml:space="preserve"> </w:t>
      </w:r>
      <w:r>
        <w:t>Overall, cayenne pepper production in NTB will not reach its maximum potential, and if a crop failure occurs in one area, it could significantly impact supply and prices. This will also hinder improvements in farmer welfare and overall food security</w:t>
      </w:r>
      <w:r w:rsidR="008C407E">
        <w:t xml:space="preserve"> </w:t>
      </w:r>
      <w:r w:rsidR="008C407E">
        <w:fldChar w:fldCharType="begin" w:fldLock="1"/>
      </w:r>
      <w:r w:rsidR="00FA654F">
        <w:instrText>ADDIN CSL_CITATION {"citationItems":[{"id":"ITEM-1","itemData":{"DOI":"10.63892/aletheia.1.2024.105-116","ISSN":"30642485","abstract":"Cabai merupakan komoditas hortikultura strategis dengan nilai ekonomi tinggi dalam perekonomian Indonesia. Studi longitudinal ini menganalisis dinamika pertumbuhan bisnis komoditas cabai di Provinsi Nusa Tenggara Barat selama periode 2013-2022, dengan fokus pada disparitas pertumbuhan antara cabai merah dan cabai rawit. Meskipun banyak penelitian telah mengkaji usaha tani cabai dari berbagai aspek, terdapat kesenjangan literatur dalam analisis perbandingan kinerja pertumbuhan jangka panjang antara kedua varietas cabai, khususnya di NTB. Permasalahan utama yang dihadapi adalah ketidakjelasan pola pertumbuhan yang membedakan kedua komoditas, sehingga menghambat pengembangan strategi bisnis yang tepat. Penelitian ini bertujuan menganalisis dinamika pertumbuhan bisnis kedua komoditas dan merumuskan implikasi strategisnya untuk pengembangan agribisnis cabai berkelanjutan. Menggunakan pendekatan kuantitatif dengan desain longitudinal berbasis data runtut waktu dari \"Satu Data NTB\", analisis dilakukan dengan Compound Annual Growth Rate (CAGR) untuk mengukur laju pertumbuhan selama satu dekade. Hasil penelitian menunjukkan disparitas pertumbuhan yang signifikan, di mana cabai merah menunjukkan ekspansi komprehensif (CAGR luas panen 9,979% dan produksi 14,771%), sementara cabai rawit mengalami kontraksi luas panen (-1,513%) namun mencatatkan pertumbuhan produktivitas yang lebih tinggi (5,731%). Perbedaan pola ini mencerminkan reorientasi strategis dalam bisnis cabai di NTB, dengan transformasi preferensi budidaya dari cabai rawit ke cabai merah yang didorong oleh faktor ekonomi dan integrasi pasar. Rekomendasi yang diajukan mencakup pengembangan sistem insentif berdiferensiasi, penguatan kelembagaan rantai pasok, investasi dalam riset dan inovasi, strategi diversifikasi dan mitigasi risiko, serta pengembangan kapasitas dan manajemen pengetahuan yang akan mendukung keberlanjutan agribisnis cabai di NTB.","author":[{"dropping-particle":"","family":"Rizki","given":"Leni Yupita","non-dropping-particle":"","parse-names":false,"suffix":""},{"dropping-particle":"","family":"Silvana","given":"Nabila","non-dropping-particle":"","parse-names":false,"suffix":""},{"dropping-particle":"","family":"Huda","given":"Tiara Nabila","non-dropping-particle":"","parse-names":false,"suffix":""},{"dropping-particle":"","family":"Utami","given":"Karina Juniarti","non-dropping-particle":"","parse-names":false,"suffix":""},{"dropping-particle":"","family":"Saksono","given":"Herie","non-dropping-particle":"","parse-names":false,"suffix":""}],"container-title":"Aletheia: Jurnal Sosial &amp; Humaniora, Inovasi, Ekonomi, dan Edukasi","id":"ITEM-1","issue":"2","issued":{"date-parts":[["2024"]]},"page":"105-116","title":"Transformasi Bisnis Komoditas Cabai di NTB: Analisis Disparitas Pertumbuhan Cabai Merah dan Cabai Rawit 2013–2022","type":"article-journal","volume":"1"},"uris":["http://www.mendeley.com/documents/?uuid=0c20ab2e-edbf-45f9-b7a6-75b6ccf6d2b1"]}],"mendeley":{"formattedCitation":"(Rizki et al., 2024)","plainTextFormattedCitation":"(Rizki et al., 2024)","previouslyFormattedCitation":"(Rizki et al., 2024)"},"properties":{"noteIndex":0},"schema":"https://github.com/citation-style-language/schema/raw/master/csl-citation.json"}</w:instrText>
      </w:r>
      <w:r w:rsidR="008C407E">
        <w:fldChar w:fldCharType="separate"/>
      </w:r>
      <w:r w:rsidR="008C407E" w:rsidRPr="008C407E">
        <w:rPr>
          <w:noProof/>
        </w:rPr>
        <w:t>(Rizki et al., 2024)</w:t>
      </w:r>
      <w:r w:rsidR="008C407E">
        <w:fldChar w:fldCharType="end"/>
      </w:r>
      <w:r w:rsidR="008C407E">
        <w:t>.</w:t>
      </w:r>
    </w:p>
    <w:p w14:paraId="4C01DEC5" w14:textId="66EFF2A9" w:rsidR="00EB0744" w:rsidRDefault="00EB0744" w:rsidP="00EB0744">
      <w:pPr>
        <w:ind w:firstLine="425"/>
        <w:jc w:val="both"/>
      </w:pPr>
      <w:r>
        <w:t xml:space="preserve">Several scientific methods were used to support this research. Agricultural methods were used to understand the influence of harvested area and cayenne pepper productivity, which are a crucial part of the vegetable cultivation system. Furthermore, statistical methods were used to examine the relationship between these factors using regression techniques, thus determining the extent of each factor's influence on cayenne pepper production. However, because the districts in NTB are close to each other and have similar geographic characteristics, there is a possibility of mutual influence between regions. Therefore, a geospatial approach is also important to identify patterns of inter-regional relationships. The combination of these three approaches: agriculture, statistics, and geospatial is necessary to gain a more complete understanding of cayenne pepper production patterns in NTB. This study uses a spatial regression method. Spatial regression is a statistical approach that can be applied to describe socio-economic situations by considering the impact of location or spatial  </w:t>
      </w:r>
      <w:r w:rsidR="00FA654F">
        <w:fldChar w:fldCharType="begin" w:fldLock="1"/>
      </w:r>
      <w:r w:rsidR="00FA654F">
        <w:instrText>ADDIN CSL_CITATION {"citationItems":[{"id":"ITEM-1","itemData":{"DOI":"10.3390/SU12176717","ISSN":"20711050","abstract":"The topic of economic convergence is still crucial in the European Union (EU) as promoting regional growth and the reduction of disparities remains a key objective. In this paper we investigate development and economic growth across EU regions. Particular attention is given to σ-convergence and ß-convergence. These analyses are carried out for regional units corresponding to the third level of the NUTS (Nomenclature of Territorial Units for Statistics) classification. Focusing on a refined geographical scale could offer a detailed picture of the regional growth dynamics within the EU. Additionally, we use a spatial augmented version of the conditional ß-convergence model to take into account the spatial interdependencies among regions. Findings shed light on the impact of spatial interaction effects and on the need of territorial policies to achieve convergence in the EU. This aspect highlights how coordinating the regional development policies between regions is pivotal to achieve economic, as well as social and political stability within the EU.","author":[{"dropping-particle":"","family":"Postiglione","given":"Paolo","non-dropping-particle":"","parse-names":false,"suffix":""},{"dropping-particle":"","family":"Cartone","given":"Alfredo","non-dropping-particle":"","parse-names":false,"suffix":""},{"dropping-particle":"","family":"Panzera","given":"Domenica","non-dropping-particle":"","parse-names":false,"suffix":""}],"container-title":"Sustainability (Switzerland)","id":"ITEM-1","issue":"17","issued":{"date-parts":[["2020"]]},"title":"Economic convergence in EU NUTS 3 regions: A spatial econometric perspective","type":"article-journal","volume":"12"},"uris":["http://www.mendeley.com/documents/?uuid=0fe5c290-4a7c-44bc-b987-0e264b5a891d"]}],"mendeley":{"formattedCitation":"(Postiglione et al., 2020)","plainTextFormattedCitation":"(Postiglione et al., 2020)","previouslyFormattedCitation":"(Postiglione et al., 2020)"},"properties":{"noteIndex":0},"schema":"https://github.com/citation-style-language/schema/raw/master/csl-citation.json"}</w:instrText>
      </w:r>
      <w:r w:rsidR="00FA654F">
        <w:fldChar w:fldCharType="separate"/>
      </w:r>
      <w:r w:rsidR="00FA654F" w:rsidRPr="00FA654F">
        <w:rPr>
          <w:noProof/>
        </w:rPr>
        <w:t>(Postiglione et al., 2020)</w:t>
      </w:r>
      <w:r w:rsidR="00FA654F">
        <w:fldChar w:fldCharType="end"/>
      </w:r>
      <w:r>
        <w:t xml:space="preserve">. In this way, the analysis conducted not only looks at the relationship between variables, but also considers how the influence between regions occurs, so that the results obtained are more accurate and in accordance with existing geographic conditions. This development is based on the impact of location or spatial influence of the data being analyzed </w:t>
      </w:r>
      <w:r w:rsidR="00FA654F">
        <w:fldChar w:fldCharType="begin" w:fldLock="1"/>
      </w:r>
      <w:r w:rsidR="00FA654F">
        <w:instrText>ADDIN CSL_CITATION {"citationItems":[{"id":"ITEM-1","itemData":{"DOI":"10.1016/j.apgeog.2020.102309","ISSN":"01436228","abstract":"This research describes the intra-metropolitan distribution patterns of airport accessibility, employment density, and labor productivity using municipality-level datasets from the Tokyo metropolitan region. The geographic data analyses present that inner-city bayfront airport accessibility and cross-industrial employment density are high in municipalities with the designation of urban regeneration districts for economic efficiency and competitiveness, but outer-suburb airport accessibility is not. The intra-metropolitan descriptions further reveal that labor productivity tends to be high in municipalities with high accessibility to the inner-city bayfront airport and a high degree of cross-industrial firm colocation for urbanization economies. From these findings, this article concludes that the significance of spatial strategy in guiding airport-linked firm colocation and intensifying the catalytic impacts of multiple airports through ground transportation investments needs to be more cautiously assessed in Asia's emerging megacities.","author":[{"dropping-particle":"","family":"Murakami","given":"Jin","non-dropping-particle":"","parse-names":false,"suffix":""},{"dropping-particle":"","family":"Kato","given":"Hironori","non-dropping-particle":"","parse-names":false,"suffix":""}],"container-title":"Applied Geography","id":"ITEM-1","issue":"July","issued":{"date-parts":[["2020"]]},"page":"102309","publisher":"Elsevier Ltd","title":"The intra-metropolitan distribution of airport accessibility, employment density, and labor productivity: Spatial strategy for economic development in Tokyo","type":"article-journal","volume":"125"},"uris":["http://www.mendeley.com/documents/?uuid=ae6f633e-6504-43b8-beba-468d92a2f0b9"]}],"mendeley":{"formattedCitation":"(Murakami &amp; Kato, 2020)","plainTextFormattedCitation":"(Murakami &amp; Kato, 2020)","previouslyFormattedCitation":"(Murakami &amp; Kato, 2020)"},"properties":{"noteIndex":0},"schema":"https://github.com/citation-style-language/schema/raw/master/csl-citation.json"}</w:instrText>
      </w:r>
      <w:r w:rsidR="00FA654F">
        <w:fldChar w:fldCharType="separate"/>
      </w:r>
      <w:r w:rsidR="00FA654F" w:rsidRPr="00FA654F">
        <w:rPr>
          <w:noProof/>
        </w:rPr>
        <w:t>(Murakami &amp; Kato, 2020)</w:t>
      </w:r>
      <w:r w:rsidR="00FA654F">
        <w:fldChar w:fldCharType="end"/>
      </w:r>
      <w:r>
        <w:t>.</w:t>
      </w:r>
    </w:p>
    <w:p w14:paraId="7ECBFAC3" w14:textId="5F7F0C60" w:rsidR="00EB0744" w:rsidRDefault="00EB0744" w:rsidP="00EB0744">
      <w:pPr>
        <w:ind w:firstLine="425"/>
        <w:jc w:val="both"/>
        <w:rPr>
          <w:lang w:val="en-ID"/>
        </w:rPr>
      </w:pPr>
      <w:r>
        <w:rPr>
          <w:lang w:val="en-ID"/>
        </w:rPr>
        <w:t>This study focuses on the impact of land size and productivity on cayenne pepper production in West Nusa Tenggara. This analysis only covers districts/cities within the NTB region, using secondary data from official sources such as the Central Statistics Agency</w:t>
      </w:r>
      <w:r w:rsidR="00FA654F">
        <w:rPr>
          <w:lang w:val="en-ID"/>
        </w:rPr>
        <w:t xml:space="preserve"> </w:t>
      </w:r>
      <w:r w:rsidR="00FA654F">
        <w:rPr>
          <w:lang w:val="en-ID"/>
        </w:rPr>
        <w:fldChar w:fldCharType="begin" w:fldLock="1"/>
      </w:r>
      <w:r w:rsidR="00FA654F">
        <w:rPr>
          <w:lang w:val="en-ID"/>
        </w:rPr>
        <w:instrText>ADDIN CSL_CITATION {"citationItems":[{"id":"ITEM-1","itemData":{"ISSN":"2721-2246","abstract":"Kesetaraan gender merupakan salah satu tujuang penting dalam pembangunan nasional, baik jangka pendek maupun jangka panjang. Oleh karena itu, baik perempuan maupun laki-laki harus memiliki kesempatan dan akses yang setara sebagai agen pembangunan. Namun, dalam kenyataanya di masyarakat, perbedaan gender masih menjadi masalah yang harus diatasi. Perempuan seringkali tidak diberikan kesempatan untuk berkontribusi dalam berbagai bidang terutama pendidikan dan ekonomi. Padahal perempuan yang diberikan akses untuk masuk dalam berbagai bidang dapat memberikan kontribusi terhadap pembangunan. Termasuk kontribusi dalam peningkatan pertumbuhan ekonomi suatu wilayah. Metode penelitian yang digunakan adalah deskriptif kuantitatif. Penelitian ini bertujuan untuk mengetahui apakah terdapat pengaruh kesetaraan gender di bidang kesehatan, pendidikan, dan ekonomi terhadap pertumbuhan ekonomi Nusa Tenggara Barat untuk kurun waktu 2019-2023. Kesetaraan gender di bidang kesehatan menggunakan variable umur harapan hidup, bidang pendidikan menggunakan variable rata-rata lama sekolah, dan bidang ekonomi menggunakan variable pengeluaran per kapita Data yang digunakan adalah data sekunder yang bersumber dari Badan Pusat Statistik (BPS). Analisis yang digunakan dalam penelitian ini adalah Analisis Regresi Data Panel dengan menggunakan pendekatan Fixed Effect Model (FEM). Berdasarkan hasil analisis menunjukkan bahwa umur harapan hidup berpengaruh negatif dan signifikan terhadap pertumbuhan ekonomi. Sedangkan, rata-rata lama sekolah dan pengeluaran per kapita berpengaruh positif dan signifikan terhadap pertumbuhan ekobomi Nusa Tenggara Barat","author":[{"dropping-particle":"","family":"Nur Wahyu Riska Febriana","given":"","non-dropping-particle":"","parse-names":false,"suffix":""},{"dropping-particle":"","family":"Hailuddin","given":"","non-dropping-particle":"","parse-names":false,"suffix":""}],"container-title":"Nusa Tenggara Barat","id":"ITEM-1","issue":"5","issued":{"date-parts":[["2024"]]},"page":"1034-1044","title":"Analisis Pengaruh Kesetaraan Gender di Bidang Kesehatan, Pendidikan, dan\nEkonomi terhadap Pertumbuhan Ekonomi Nusa Tenggara Barat","type":"article-journal","volume":"5"},"uris":["http://www.mendeley.com/documents/?uuid=b47f8ed8-b111-4db7-8f91-d7fb7bb31877"]}],"mendeley":{"formattedCitation":"(Nur Wahyu Riska Febriana &amp; Hailuddin, 2024)","plainTextFormattedCitation":"(Nur Wahyu Riska Febriana &amp; Hailuddin, 2024)","previouslyFormattedCitation":"(Nur Wahyu Riska Febriana &amp; Hailuddin, 2024)"},"properties":{"noteIndex":0},"schema":"https://github.com/citation-style-language/schema/raw/master/csl-citation.json"}</w:instrText>
      </w:r>
      <w:r w:rsidR="00FA654F">
        <w:rPr>
          <w:lang w:val="en-ID"/>
        </w:rPr>
        <w:fldChar w:fldCharType="separate"/>
      </w:r>
      <w:r w:rsidR="00FA654F" w:rsidRPr="00FA654F">
        <w:rPr>
          <w:noProof/>
          <w:lang w:val="en-ID"/>
        </w:rPr>
        <w:t>(Nur Wahyu Riska Febriana &amp; Hailuddin, 2024)</w:t>
      </w:r>
      <w:r w:rsidR="00FA654F">
        <w:rPr>
          <w:lang w:val="en-ID"/>
        </w:rPr>
        <w:fldChar w:fldCharType="end"/>
      </w:r>
      <w:r w:rsidR="00FA654F">
        <w:rPr>
          <w:color w:val="000000"/>
        </w:rPr>
        <w:t>.</w:t>
      </w:r>
      <w:r>
        <w:rPr>
          <w:lang w:val="en-ID"/>
        </w:rPr>
        <w:t xml:space="preserve">The variables studied are limited to harvested area and productivity on cayenne pepper production, without including other variables such as rainfall, soil conditions, market prices, or the use of tools and other agricultural materials. To determine the spatial impact between geographically adjacent areas, this study applies a spatial regression analysis method with the Spatial Error Model (SEM). The Spatial Error Model (SEM) is a type of regression model that takes into account spatial dependence </w:t>
      </w:r>
      <w:r>
        <w:t xml:space="preserve"> </w:t>
      </w:r>
      <w:r w:rsidR="00FA654F">
        <w:fldChar w:fldCharType="begin" w:fldLock="1"/>
      </w:r>
      <w:r w:rsidR="00181E33">
        <w:instrText>ADDIN CSL_CITATION {"citationItems":[{"id":"ITEM-1","itemData":{"DOI":"10.35877/mathscience740","ISSN":"2807-3037","abstract":"Spatial regression is a development of classical linear regression which is based on the influence of place or location. To determine the location/spatial effect, a spatial dependency test was performed using the Moran Index, and the Lagrange Multiplier (LM) test was used to determine a significant spatial regression model. In this study, spatial regression was applied to the case of food security in each district in South Sulawesi Province. The results of the analysis show that there is a negative spatial autocorrelation, meaning that the spatial effect does not affect the level of food security. The significant spatial regression model is the SEM (Spatial Error Model) model. The equation of the SEM model produces variables that have a significant effect, namely the ratio of normative consumption per capita to net availability, percentage of population living below the poverty line, percentage of households with a proportion of expenditure on food more than 65 percent of total expenditure, percentage of households without access to electricity, percentage of households without access to clean water, life expectancy at birth, ratio of population per health worker to the level of population density, the average length of schooling for women above 15 years, and the percentage of children under five with height below standard (stunting). Thus, the resulting distribution pattern is a uniform data pattern. This means that each adjacent district tends to have different characteristics.","author":[{"dropping-particle":"","family":"Safitri","given":"Irma Yani","non-dropping-particle":"","parse-names":false,"suffix":""},{"dropping-particle":"","family":"Tiro","given":"Muhammad Arif","non-dropping-particle":"","parse-names":false,"suffix":""},{"dropping-particle":"","family":"Ruliana","given":"","non-dropping-particle":"","parse-names":false,"suffix":""}],"container-title":"ARRUS Journal of Mathematics and Applied Science","id":"ITEM-1","issue":"2","issued":{"date-parts":[["2022","3","18"]]},"page":"60-72","title":"Spatial Regression Analysis to See Factors Affecting Food Security at District Level in South Sulawesi Province","type":"article-journal","volume":"2"},"uris":["http://www.mendeley.com/documents/?uuid=d03b25df-a4b6-4a09-ac61-e1f872873552"]}],"mendeley":{"formattedCitation":"(Safitri et al., 2022)","plainTextFormattedCitation":"(Safitri et al., 2022)","previouslyFormattedCitation":"(Safitri et al., 2022)"},"properties":{"noteIndex":0},"schema":"https://github.com/citation-style-language/schema/raw/master/csl-citation.json"}</w:instrText>
      </w:r>
      <w:r w:rsidR="00FA654F">
        <w:fldChar w:fldCharType="separate"/>
      </w:r>
      <w:r w:rsidR="00FA654F" w:rsidRPr="00FA654F">
        <w:rPr>
          <w:noProof/>
        </w:rPr>
        <w:t>(Safitri et al., 2022)</w:t>
      </w:r>
      <w:r w:rsidR="00FA654F">
        <w:fldChar w:fldCharType="end"/>
      </w:r>
      <w:r>
        <w:rPr>
          <w:lang w:val="en-ID"/>
        </w:rPr>
        <w:t>. One of the main advantages of the SEM model is its ability to model observational data that has spatial relationships better</w:t>
      </w:r>
      <w:r w:rsidR="00181E33">
        <w:rPr>
          <w:lang w:val="en-ID"/>
        </w:rPr>
        <w:t xml:space="preserve"> </w:t>
      </w:r>
      <w:r w:rsidR="00181E33">
        <w:rPr>
          <w:lang w:val="en-ID"/>
        </w:rPr>
        <w:fldChar w:fldCharType="begin" w:fldLock="1"/>
      </w:r>
      <w:r w:rsidR="00181E33">
        <w:rPr>
          <w:lang w:val="en-ID"/>
        </w:rPr>
        <w:instrText>ADDIN CSL_CITATION {"citationItems":[{"id":"ITEM-1","itemData":{"DOI":"10.30872/eksponensial.v16i1.1465","abstract":"Stunting, a major public health concern hindering child development, remains prevalent in Indonesia. This study employs a spatial approach to analyze the prevalence and spatial patterns of stunting across 34 provinces in Indonesia in 2022. We utilize Exploratory Spatial Data Analysis (ESDA) with Moran's I to assess spatial autocorrelation and identify potential model types (e.g., Spatial Autoregressive Model (SAR), Spatial Error Model (SEM), General Spatial Model (GSM). Following this, Local Indicators of Spatial Association (LISA) can be employed to pinpoint specific spatial clusters of high or low stunting prevalence. The analysis confirms spatial autocorrelation, and subsequent modeling using a suite of spatial regression techniques (including SAR, SEM, and SARMA/GSM) reveals the SEM as the most suitable model for this study with the weighting of the queen matrix contiguity. The SEM analysis identifies two key factors influencing stunting rates: the percentage of the poor population and the percentage of infants under 6 months receiving exclusive breastfeeding. This study highlights the importance of a spatially informed approach for developing effective national and regional stunting prevention programs. By targeting interventions in provinces with high stunting clusters and addressing underlying factors like poverty and breastfeeding practices, policymakers can create more equitable resource allocation strategies to combat stunting and improve child health outcomes nationwide.","author":[{"dropping-particle":"","family":"Mar'ah","given":"Zakiyah","non-dropping-particle":"","parse-names":false,"suffix":""},{"dropping-particle":"","family":"Nabila","given":"Ainun","non-dropping-particle":"","parse-names":false,"suffix":""},{"dropping-particle":"","family":"Ruslan","given":"","non-dropping-particle":"","parse-names":false,"suffix":""}],"container-title":"Jurnal EKSPONENSIAL","id":"ITEM-1","issue":"1","issued":{"date-parts":[["2025"]]},"page":"41-45","title":"Penerapan Spatial Error Model (SEM) Dalam Menganalisis Faktor-Faktor Yang Mempengaruhi Stunting Balita Di Indonesia Application Of Spatial Error Model (SEM) In Analyzing Factors Affecting Stunting In Indonesia","type":"article-journal","volume":"16"},"uris":["http://www.mendeley.com/documents/?uuid=cbbff6f1-f438-44d5-82e6-8283bcaffcae"]}],"mendeley":{"formattedCitation":"(Mar’ah et al., 2025)","plainTextFormattedCitation":"(Mar’ah et al., 2025)","previouslyFormattedCitation":"(Mar’ah et al., 2025)"},"properties":{"noteIndex":0},"schema":"https://github.com/citation-style-language/schema/raw/master/csl-citation.json"}</w:instrText>
      </w:r>
      <w:r w:rsidR="00181E33">
        <w:rPr>
          <w:lang w:val="en-ID"/>
        </w:rPr>
        <w:fldChar w:fldCharType="separate"/>
      </w:r>
      <w:r w:rsidR="00181E33" w:rsidRPr="00181E33">
        <w:rPr>
          <w:noProof/>
          <w:lang w:val="en-ID"/>
        </w:rPr>
        <w:t>(Mar’ah et al., 2025)</w:t>
      </w:r>
      <w:r w:rsidR="00181E33">
        <w:rPr>
          <w:lang w:val="en-ID"/>
        </w:rPr>
        <w:fldChar w:fldCharType="end"/>
      </w:r>
      <w:r>
        <w:rPr>
          <w:lang w:val="en-ID"/>
        </w:rPr>
        <w:t>. SEM appears when there is a relationship between value errors in nearby places, or it can be said that these locations have a spatial correlation</w:t>
      </w:r>
      <w:r w:rsidR="00181E33">
        <w:rPr>
          <w:lang w:val="en-ID"/>
        </w:rPr>
        <w:t xml:space="preserve"> </w:t>
      </w:r>
      <w:r w:rsidR="00181E33">
        <w:rPr>
          <w:lang w:val="en-ID"/>
        </w:rPr>
        <w:fldChar w:fldCharType="begin" w:fldLock="1"/>
      </w:r>
      <w:r w:rsidR="004833EA">
        <w:rPr>
          <w:lang w:val="en-ID"/>
        </w:rPr>
        <w:instrText>ADDIN CSL_CITATION {"citationItems":[{"id":"ITEM-1","itemData":{"DOI":"10.30598/variancevol5iss1page47-54","ISSN":"2685-8738","abstract":"Pembangunan ekonomi ialah salah satu tujuan utama negara-negara berkembang, saat ini Indonesia menghadapi masalah yang sulit dipecahkan yaitu kemiskinan. Menurut laporan Badan Pusat Statistik (BPS), Provinsi Lampung menempati posisi ke-14 termiskin di Indonesia dan menduduki posisi ke-3 se-Sumatera. Maka, diperlukan analisis yang tepat untuk melihat permasalahan tersebut secara kewilayahannya, analisis yang digunakan analisis regresi spasial. Model regresi spasial yang memiliki efek spasial pada eror adalah Spatial Error Model (SEM). Data yang digunakan data tingkat Pengangguran dan kemiskinan di Provinsi Lampung tahun 2022. Tujuan penelitian ini yaitu mengetahui bentuk pemodelan spatial error model dan mengetahui faktor suatu variable Pengangguran yang  mempengaruhi tingkat kemiskinan. Hal tersebut diperkuat oleh hasil uji Indeks Moran menunjukkan adanya efek dependensi spasial. Berdasarkan uji Lagrange Multiplier, depedensi spasial terjadi pada error. Hasil pengujian menunjukan  bahwa tingkat pengangguran berpengaruh pada tingkat kemiskinan setiap Kabupaten/Kota di Provinsi Lampung.","author":[{"dropping-particle":"","family":"Nurjanah","given":"Nurjanah","non-dropping-particle":"","parse-names":false,"suffix":""},{"dropping-particle":"","family":"Rinaldi","given":"Achi","non-dropping-particle":"","parse-names":false,"suffix":""},{"dropping-particle":"","family":"Putri","given":"Rizka","non-dropping-particle":"","parse-names":false,"suffix":""}],"container-title":"VARIANCE: Journal of Statistics and Its Applications","id":"ITEM-1","issue":"1","issued":{"date-parts":[["2023"]]},"page":"47-54","title":"Spatial Error Model Pada Tingkat Kemiskinan Kabupaten/Kota Di Provinsi Lampung","type":"article-journal","volume":"5"},"uris":["http://www.mendeley.com/documents/?uuid=504a87e6-929f-4ea0-a6f3-1dc524a0db17"]}],"mendeley":{"formattedCitation":"(Nurjanah et al., 2023)","plainTextFormattedCitation":"(Nurjanah et al., 2023)","previouslyFormattedCitation":"(Nurjanah et al., 2023)"},"properties":{"noteIndex":0},"schema":"https://github.com/citation-style-language/schema/raw/master/csl-citation.json"}</w:instrText>
      </w:r>
      <w:r w:rsidR="00181E33">
        <w:rPr>
          <w:lang w:val="en-ID"/>
        </w:rPr>
        <w:fldChar w:fldCharType="separate"/>
      </w:r>
      <w:r w:rsidR="00181E33" w:rsidRPr="00181E33">
        <w:rPr>
          <w:noProof/>
          <w:lang w:val="en-ID"/>
        </w:rPr>
        <w:t>(Nurjanah et al., 2023)</w:t>
      </w:r>
      <w:r w:rsidR="00181E33">
        <w:rPr>
          <w:lang w:val="en-ID"/>
        </w:rPr>
        <w:fldChar w:fldCharType="end"/>
      </w:r>
      <w:r w:rsidR="00181E33">
        <w:rPr>
          <w:lang w:val="en-ID"/>
        </w:rPr>
        <w:t>.</w:t>
      </w:r>
    </w:p>
    <w:p w14:paraId="33164A8C" w14:textId="77777777" w:rsidR="00AD4BF9" w:rsidRDefault="00AD4BF9" w:rsidP="00AD4BF9">
      <w:pPr>
        <w:ind w:firstLine="425"/>
        <w:jc w:val="both"/>
        <w:rPr>
          <w:rFonts w:eastAsia="Cambria"/>
          <w:color w:val="000000" w:themeColor="text1"/>
          <w:lang w:val="en-ID"/>
        </w:rPr>
      </w:pPr>
    </w:p>
    <w:p w14:paraId="1203DFF3" w14:textId="0EF0B673" w:rsidR="004E5658" w:rsidRPr="00EB0744" w:rsidRDefault="00552011" w:rsidP="00EB0744">
      <w:pPr>
        <w:pStyle w:val="ListParagraph"/>
        <w:ind w:left="567" w:firstLine="567"/>
        <w:rPr>
          <w:lang w:val="id-ID"/>
        </w:rPr>
      </w:pPr>
      <w:sdt>
        <w:sdtPr>
          <w:rPr>
            <w:color w:val="000000"/>
            <w:lang w:val="id-ID"/>
          </w:rPr>
          <w:tag w:val="MENDELEY_CITATION_v3_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"/>
          <w:id w:val="2106449199"/>
          <w:placeholder>
            <w:docPart w:val="ED280587FFA7484CBB109FF9A773D166"/>
          </w:placeholder>
        </w:sdtPr>
        <w:sdtEndPr/>
        <w:sdtContent/>
      </w:sdt>
    </w:p>
    <w:p w14:paraId="4F78F0DD" w14:textId="77777777" w:rsidR="00427E46" w:rsidRDefault="00FD3C9E">
      <w:pPr>
        <w:pStyle w:val="Heading1"/>
        <w:numPr>
          <w:ilvl w:val="0"/>
          <w:numId w:val="1"/>
        </w:numPr>
        <w:tabs>
          <w:tab w:val="left" w:pos="4491"/>
        </w:tabs>
        <w:spacing w:line="321" w:lineRule="exact"/>
        <w:ind w:left="4491" w:hanging="279"/>
        <w:jc w:val="both"/>
      </w:pPr>
      <w:r>
        <w:rPr>
          <w:spacing w:val="-2"/>
        </w:rPr>
        <w:t>Method</w:t>
      </w:r>
    </w:p>
    <w:p w14:paraId="0E2D7A3F" w14:textId="77777777" w:rsidR="00D75DD8" w:rsidRDefault="00D75DD8">
      <w:pPr>
        <w:pStyle w:val="BodyText"/>
        <w:spacing w:before="49" w:line="276" w:lineRule="auto"/>
        <w:ind w:right="307" w:firstLine="427"/>
      </w:pPr>
    </w:p>
    <w:p w14:paraId="781CC60B" w14:textId="77777777" w:rsidR="00EB0744" w:rsidRDefault="00EB0744" w:rsidP="00EB0744">
      <w:pPr>
        <w:ind w:firstLine="720"/>
        <w:jc w:val="both"/>
        <w:rPr>
          <w:rFonts w:asciiTheme="majorBidi" w:hAnsiTheme="majorBidi" w:cstheme="majorBidi"/>
        </w:rPr>
      </w:pPr>
      <w:r>
        <w:rPr>
          <w:rFonts w:asciiTheme="majorBidi" w:hAnsiTheme="majorBidi" w:cstheme="majorBidi"/>
        </w:rPr>
        <w:t xml:space="preserve">The data used in this study are agricultural statistics from the regional agricultural office, with a sample size of 10 observations. The data includes information on cayenne pepper production across all regencies and cities in West Nusa Tenggara Province in 2024. To support the analysis process, ArcView software (for spatial mapping) and </w:t>
      </w:r>
      <w:proofErr w:type="spellStart"/>
      <w:r>
        <w:rPr>
          <w:rFonts w:asciiTheme="majorBidi" w:hAnsiTheme="majorBidi" w:cstheme="majorBidi"/>
        </w:rPr>
        <w:t>GeoDa</w:t>
      </w:r>
      <w:proofErr w:type="spellEnd"/>
      <w:r>
        <w:rPr>
          <w:rFonts w:asciiTheme="majorBidi" w:hAnsiTheme="majorBidi" w:cstheme="majorBidi"/>
        </w:rPr>
        <w:t xml:space="preserve"> (for spatial statistical analysis) were used. The method used in this study is spatial regression, a statistical method that considers spatial relationships between locations in modeling the relationships between variables.</w:t>
      </w:r>
    </w:p>
    <w:p w14:paraId="02E69E2B" w14:textId="77777777" w:rsidR="00EB0744" w:rsidRPr="00EB0744" w:rsidRDefault="00EB0744" w:rsidP="00EB0744">
      <w:pPr>
        <w:jc w:val="center"/>
        <w:rPr>
          <w:rFonts w:asciiTheme="majorBidi" w:hAnsiTheme="majorBidi" w:cstheme="majorBidi"/>
        </w:rPr>
      </w:pPr>
      <w:r w:rsidRPr="00EB0744">
        <w:rPr>
          <w:rFonts w:asciiTheme="majorBidi" w:hAnsiTheme="majorBidi" w:cstheme="majorBidi"/>
          <w:b/>
          <w:bCs/>
        </w:rPr>
        <w:t>Table 1.</w:t>
      </w:r>
      <w:r w:rsidRPr="00EB0744">
        <w:rPr>
          <w:rFonts w:asciiTheme="majorBidi" w:hAnsiTheme="majorBidi" w:cstheme="majorBidi"/>
        </w:rPr>
        <w:t xml:space="preserve"> Research Variables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gridCol w:w="3149"/>
        <w:gridCol w:w="4074"/>
      </w:tblGrid>
      <w:tr w:rsidR="00EB0744" w14:paraId="21162DB6" w14:textId="77777777" w:rsidTr="00EB0744">
        <w:trPr>
          <w:trHeight w:val="287"/>
          <w:jc w:val="center"/>
        </w:trPr>
        <w:tc>
          <w:tcPr>
            <w:tcW w:w="1846" w:type="dxa"/>
            <w:tcBorders>
              <w:top w:val="single" w:sz="4" w:space="0" w:color="auto"/>
              <w:left w:val="nil"/>
              <w:bottom w:val="single" w:sz="4" w:space="0" w:color="auto"/>
              <w:right w:val="nil"/>
            </w:tcBorders>
            <w:hideMark/>
          </w:tcPr>
          <w:p w14:paraId="644E88FF" w14:textId="77777777" w:rsidR="00EB0744" w:rsidRDefault="00EB0744">
            <w:pPr>
              <w:jc w:val="center"/>
              <w:rPr>
                <w:rFonts w:asciiTheme="majorBidi" w:hAnsiTheme="majorBidi" w:cstheme="majorBidi"/>
                <w:lang w:val="id-ID" w:eastAsia="id-ID"/>
              </w:rPr>
            </w:pPr>
            <w:r>
              <w:rPr>
                <w:rFonts w:asciiTheme="majorBidi" w:hAnsiTheme="majorBidi" w:cstheme="majorBidi"/>
                <w:lang w:val="id-ID" w:eastAsia="id-ID"/>
              </w:rPr>
              <w:t xml:space="preserve">No </w:t>
            </w:r>
          </w:p>
        </w:tc>
        <w:tc>
          <w:tcPr>
            <w:tcW w:w="3149" w:type="dxa"/>
            <w:tcBorders>
              <w:top w:val="single" w:sz="4" w:space="0" w:color="auto"/>
              <w:left w:val="nil"/>
              <w:bottom w:val="single" w:sz="4" w:space="0" w:color="auto"/>
              <w:right w:val="nil"/>
            </w:tcBorders>
            <w:hideMark/>
          </w:tcPr>
          <w:p w14:paraId="33EA9361" w14:textId="77777777" w:rsidR="00EB0744" w:rsidRDefault="00EB0744">
            <w:pPr>
              <w:jc w:val="center"/>
              <w:rPr>
                <w:rFonts w:asciiTheme="majorBidi" w:hAnsiTheme="majorBidi" w:cstheme="majorBidi"/>
                <w:lang w:val="id-ID" w:eastAsia="id-ID"/>
              </w:rPr>
            </w:pPr>
            <w:r>
              <w:rPr>
                <w:rFonts w:asciiTheme="majorBidi" w:hAnsiTheme="majorBidi" w:cstheme="majorBidi"/>
                <w:lang w:val="id-ID" w:eastAsia="id-ID"/>
              </w:rPr>
              <w:t>Variabels</w:t>
            </w:r>
          </w:p>
        </w:tc>
        <w:tc>
          <w:tcPr>
            <w:tcW w:w="4074" w:type="dxa"/>
            <w:tcBorders>
              <w:top w:val="single" w:sz="4" w:space="0" w:color="auto"/>
              <w:left w:val="nil"/>
              <w:bottom w:val="single" w:sz="4" w:space="0" w:color="auto"/>
              <w:right w:val="nil"/>
            </w:tcBorders>
            <w:hideMark/>
          </w:tcPr>
          <w:p w14:paraId="4924BA91" w14:textId="77777777" w:rsidR="00EB0744" w:rsidRDefault="00EB0744">
            <w:pPr>
              <w:jc w:val="center"/>
              <w:rPr>
                <w:rFonts w:asciiTheme="majorBidi" w:hAnsiTheme="majorBidi" w:cstheme="majorBidi"/>
                <w:lang w:val="id-ID" w:eastAsia="id-ID"/>
              </w:rPr>
            </w:pPr>
            <w:r>
              <w:rPr>
                <w:rFonts w:asciiTheme="majorBidi" w:hAnsiTheme="majorBidi" w:cstheme="majorBidi"/>
                <w:lang w:val="id-ID" w:eastAsia="id-ID"/>
              </w:rPr>
              <w:t>Variabel Name</w:t>
            </w:r>
          </w:p>
        </w:tc>
      </w:tr>
      <w:tr w:rsidR="00EB0744" w14:paraId="7BBC7FC1" w14:textId="77777777" w:rsidTr="00EB0744">
        <w:trPr>
          <w:trHeight w:val="287"/>
          <w:jc w:val="center"/>
        </w:trPr>
        <w:tc>
          <w:tcPr>
            <w:tcW w:w="1846" w:type="dxa"/>
            <w:tcBorders>
              <w:top w:val="single" w:sz="4" w:space="0" w:color="auto"/>
              <w:left w:val="nil"/>
              <w:bottom w:val="nil"/>
              <w:right w:val="nil"/>
            </w:tcBorders>
            <w:hideMark/>
          </w:tcPr>
          <w:p w14:paraId="6AE45B35" w14:textId="77777777" w:rsidR="00EB0744" w:rsidRDefault="00EB0744">
            <w:pPr>
              <w:jc w:val="center"/>
              <w:rPr>
                <w:rFonts w:asciiTheme="majorBidi" w:hAnsiTheme="majorBidi" w:cstheme="majorBidi"/>
                <w:lang w:val="id-ID" w:eastAsia="id-ID"/>
              </w:rPr>
            </w:pPr>
            <w:r>
              <w:rPr>
                <w:rFonts w:asciiTheme="majorBidi" w:hAnsiTheme="majorBidi" w:cstheme="majorBidi"/>
                <w:lang w:val="id-ID" w:eastAsia="id-ID"/>
              </w:rPr>
              <w:t>1</w:t>
            </w:r>
          </w:p>
        </w:tc>
        <w:tc>
          <w:tcPr>
            <w:tcW w:w="3149" w:type="dxa"/>
            <w:tcBorders>
              <w:top w:val="single" w:sz="4" w:space="0" w:color="auto"/>
              <w:left w:val="nil"/>
              <w:bottom w:val="nil"/>
              <w:right w:val="nil"/>
            </w:tcBorders>
            <w:hideMark/>
          </w:tcPr>
          <w:p w14:paraId="558BF404" w14:textId="77777777" w:rsidR="00EB0744" w:rsidRDefault="00EB0744">
            <w:pPr>
              <w:jc w:val="center"/>
              <w:rPr>
                <w:rFonts w:asciiTheme="majorBidi" w:hAnsiTheme="majorBidi" w:cstheme="majorBidi"/>
                <w:lang w:val="id-ID" w:eastAsia="id-ID"/>
              </w:rPr>
            </w:pPr>
            <w:r>
              <w:rPr>
                <w:rFonts w:asciiTheme="majorBidi" w:hAnsiTheme="majorBidi" w:cstheme="majorBidi"/>
                <w:lang w:val="id-ID" w:eastAsia="id-ID"/>
              </w:rPr>
              <w:t>Y</w:t>
            </w:r>
          </w:p>
        </w:tc>
        <w:tc>
          <w:tcPr>
            <w:tcW w:w="4074" w:type="dxa"/>
            <w:tcBorders>
              <w:top w:val="single" w:sz="4" w:space="0" w:color="auto"/>
              <w:left w:val="nil"/>
              <w:bottom w:val="nil"/>
              <w:right w:val="nil"/>
            </w:tcBorders>
            <w:hideMark/>
          </w:tcPr>
          <w:p w14:paraId="751D2FB7" w14:textId="77777777" w:rsidR="00EB0744" w:rsidRDefault="00EB0744">
            <w:pPr>
              <w:jc w:val="center"/>
              <w:rPr>
                <w:rFonts w:asciiTheme="majorBidi" w:hAnsiTheme="majorBidi" w:cstheme="majorBidi"/>
                <w:lang w:val="id-ID" w:eastAsia="id-ID"/>
              </w:rPr>
            </w:pPr>
            <w:r>
              <w:rPr>
                <w:rFonts w:asciiTheme="majorBidi" w:hAnsiTheme="majorBidi" w:cstheme="majorBidi"/>
                <w:lang w:val="id-ID" w:eastAsia="id-ID"/>
              </w:rPr>
              <w:t>Chili Pepper Production</w:t>
            </w:r>
          </w:p>
        </w:tc>
      </w:tr>
      <w:tr w:rsidR="00EB0744" w14:paraId="26DF36D5" w14:textId="77777777" w:rsidTr="00EB0744">
        <w:trPr>
          <w:trHeight w:val="287"/>
          <w:jc w:val="center"/>
        </w:trPr>
        <w:tc>
          <w:tcPr>
            <w:tcW w:w="1846" w:type="dxa"/>
            <w:tcBorders>
              <w:top w:val="nil"/>
              <w:left w:val="nil"/>
              <w:bottom w:val="nil"/>
              <w:right w:val="nil"/>
            </w:tcBorders>
            <w:hideMark/>
          </w:tcPr>
          <w:p w14:paraId="097E0E1F" w14:textId="77777777" w:rsidR="00EB0744" w:rsidRDefault="00EB0744">
            <w:pPr>
              <w:jc w:val="center"/>
              <w:rPr>
                <w:rFonts w:asciiTheme="majorBidi" w:hAnsiTheme="majorBidi" w:cstheme="majorBidi"/>
                <w:lang w:val="id-ID" w:eastAsia="id-ID"/>
              </w:rPr>
            </w:pPr>
            <w:r>
              <w:rPr>
                <w:rFonts w:asciiTheme="majorBidi" w:hAnsiTheme="majorBidi" w:cstheme="majorBidi"/>
                <w:lang w:val="id-ID" w:eastAsia="id-ID"/>
              </w:rPr>
              <w:t>2</w:t>
            </w:r>
          </w:p>
        </w:tc>
        <w:tc>
          <w:tcPr>
            <w:tcW w:w="3149" w:type="dxa"/>
            <w:tcBorders>
              <w:top w:val="nil"/>
              <w:left w:val="nil"/>
              <w:bottom w:val="nil"/>
              <w:right w:val="nil"/>
            </w:tcBorders>
            <w:hideMark/>
          </w:tcPr>
          <w:p w14:paraId="43F06A3E" w14:textId="77777777" w:rsidR="00EB0744" w:rsidRDefault="00EB0744">
            <w:pPr>
              <w:jc w:val="center"/>
              <w:rPr>
                <w:rFonts w:asciiTheme="majorBidi" w:hAnsiTheme="majorBidi" w:cstheme="majorBidi"/>
                <w:sz w:val="18"/>
                <w:szCs w:val="18"/>
                <w:lang w:val="id-ID" w:eastAsia="id-ID"/>
              </w:rPr>
            </w:pPr>
            <w:r>
              <w:rPr>
                <w:rFonts w:asciiTheme="majorBidi" w:hAnsiTheme="majorBidi" w:cstheme="majorBidi"/>
                <w:lang w:val="id-ID" w:eastAsia="id-ID"/>
              </w:rPr>
              <w:t>X</w:t>
            </w:r>
            <w:r>
              <w:rPr>
                <w:rFonts w:asciiTheme="majorBidi" w:hAnsiTheme="majorBidi" w:cstheme="majorBidi"/>
                <w:vertAlign w:val="superscript"/>
                <w:lang w:val="id-ID" w:eastAsia="id-ID"/>
              </w:rPr>
              <w:t>1</w:t>
            </w:r>
          </w:p>
        </w:tc>
        <w:tc>
          <w:tcPr>
            <w:tcW w:w="4074" w:type="dxa"/>
            <w:tcBorders>
              <w:top w:val="nil"/>
              <w:left w:val="nil"/>
              <w:bottom w:val="nil"/>
              <w:right w:val="nil"/>
            </w:tcBorders>
            <w:hideMark/>
          </w:tcPr>
          <w:p w14:paraId="7928A217" w14:textId="77777777" w:rsidR="00EB0744" w:rsidRDefault="00EB0744">
            <w:pPr>
              <w:jc w:val="center"/>
              <w:rPr>
                <w:rFonts w:asciiTheme="majorBidi" w:hAnsiTheme="majorBidi" w:cstheme="majorBidi"/>
                <w:sz w:val="20"/>
                <w:szCs w:val="20"/>
                <w:lang w:val="id-ID" w:eastAsia="id-ID"/>
              </w:rPr>
            </w:pPr>
            <w:r>
              <w:rPr>
                <w:rFonts w:asciiTheme="majorBidi" w:hAnsiTheme="majorBidi" w:cstheme="majorBidi"/>
                <w:lang w:val="id-ID" w:eastAsia="id-ID"/>
              </w:rPr>
              <w:t>Harvested Area</w:t>
            </w:r>
          </w:p>
        </w:tc>
      </w:tr>
      <w:tr w:rsidR="00EB0744" w14:paraId="76E7AFA3" w14:textId="77777777" w:rsidTr="00EB0744">
        <w:trPr>
          <w:trHeight w:val="287"/>
          <w:jc w:val="center"/>
        </w:trPr>
        <w:tc>
          <w:tcPr>
            <w:tcW w:w="1846" w:type="dxa"/>
            <w:tcBorders>
              <w:top w:val="nil"/>
              <w:left w:val="nil"/>
              <w:bottom w:val="single" w:sz="4" w:space="0" w:color="auto"/>
              <w:right w:val="nil"/>
            </w:tcBorders>
            <w:hideMark/>
          </w:tcPr>
          <w:p w14:paraId="5C474133" w14:textId="77777777" w:rsidR="00EB0744" w:rsidRDefault="00EB0744">
            <w:pPr>
              <w:jc w:val="center"/>
              <w:rPr>
                <w:rFonts w:asciiTheme="majorBidi" w:hAnsiTheme="majorBidi" w:cstheme="majorBidi"/>
                <w:lang w:val="id-ID" w:eastAsia="id-ID"/>
              </w:rPr>
            </w:pPr>
            <w:r>
              <w:rPr>
                <w:rFonts w:asciiTheme="majorBidi" w:hAnsiTheme="majorBidi" w:cstheme="majorBidi"/>
                <w:lang w:val="id-ID" w:eastAsia="id-ID"/>
              </w:rPr>
              <w:t>3</w:t>
            </w:r>
          </w:p>
        </w:tc>
        <w:tc>
          <w:tcPr>
            <w:tcW w:w="3149" w:type="dxa"/>
            <w:tcBorders>
              <w:top w:val="nil"/>
              <w:left w:val="nil"/>
              <w:bottom w:val="single" w:sz="4" w:space="0" w:color="auto"/>
              <w:right w:val="nil"/>
            </w:tcBorders>
            <w:hideMark/>
          </w:tcPr>
          <w:p w14:paraId="349D27BB" w14:textId="77777777" w:rsidR="00EB0744" w:rsidRDefault="00EB0744">
            <w:pPr>
              <w:jc w:val="center"/>
              <w:rPr>
                <w:rFonts w:asciiTheme="majorBidi" w:hAnsiTheme="majorBidi" w:cstheme="majorBidi"/>
                <w:vertAlign w:val="superscript"/>
                <w:lang w:val="id-ID" w:eastAsia="id-ID"/>
              </w:rPr>
            </w:pPr>
            <w:r>
              <w:rPr>
                <w:rFonts w:asciiTheme="majorBidi" w:hAnsiTheme="majorBidi" w:cstheme="majorBidi"/>
                <w:lang w:val="id-ID" w:eastAsia="id-ID"/>
              </w:rPr>
              <w:t>X</w:t>
            </w:r>
            <w:r>
              <w:rPr>
                <w:rFonts w:asciiTheme="majorBidi" w:hAnsiTheme="majorBidi" w:cstheme="majorBidi"/>
                <w:vertAlign w:val="superscript"/>
                <w:lang w:val="id-ID" w:eastAsia="id-ID"/>
              </w:rPr>
              <w:t>2</w:t>
            </w:r>
          </w:p>
        </w:tc>
        <w:tc>
          <w:tcPr>
            <w:tcW w:w="4074" w:type="dxa"/>
            <w:tcBorders>
              <w:top w:val="nil"/>
              <w:left w:val="nil"/>
              <w:bottom w:val="single" w:sz="4" w:space="0" w:color="auto"/>
              <w:right w:val="nil"/>
            </w:tcBorders>
            <w:hideMark/>
          </w:tcPr>
          <w:p w14:paraId="0C0A017C" w14:textId="77777777" w:rsidR="00EB0744" w:rsidRDefault="00EB0744">
            <w:pPr>
              <w:jc w:val="center"/>
              <w:rPr>
                <w:rFonts w:asciiTheme="majorBidi" w:hAnsiTheme="majorBidi" w:cstheme="majorBidi"/>
                <w:lang w:val="id-ID" w:eastAsia="id-ID"/>
              </w:rPr>
            </w:pPr>
            <w:r>
              <w:rPr>
                <w:rFonts w:asciiTheme="majorBidi" w:hAnsiTheme="majorBidi" w:cstheme="majorBidi"/>
                <w:lang w:val="id-ID" w:eastAsia="id-ID"/>
              </w:rPr>
              <w:t>Chili Pepper Productivity</w:t>
            </w:r>
          </w:p>
        </w:tc>
      </w:tr>
    </w:tbl>
    <w:p w14:paraId="3149E5E5" w14:textId="430ADC8F" w:rsidR="00EB0744" w:rsidRDefault="00EB0744" w:rsidP="00EB0744">
      <w:pPr>
        <w:spacing w:before="240" w:after="240" w:line="240" w:lineRule="exact"/>
        <w:ind w:firstLine="720"/>
        <w:jc w:val="both"/>
        <w:rPr>
          <w:rFonts w:asciiTheme="majorBidi" w:hAnsiTheme="majorBidi" w:cstheme="majorBidi"/>
          <w:lang w:val="id-ID"/>
        </w:rPr>
      </w:pPr>
      <w:r>
        <w:rPr>
          <w:rFonts w:ascii="Calibri" w:hAnsi="Calibri" w:cs="Calibri"/>
          <w:noProof/>
        </w:rPr>
        <w:lastRenderedPageBreak/>
        <w:drawing>
          <wp:anchor distT="0" distB="0" distL="114300" distR="114300" simplePos="0" relativeHeight="251658240" behindDoc="1" locked="0" layoutInCell="1" allowOverlap="1" wp14:anchorId="566191A2" wp14:editId="2DAF8EED">
            <wp:simplePos x="0" y="0"/>
            <wp:positionH relativeFrom="column">
              <wp:posOffset>2207260</wp:posOffset>
            </wp:positionH>
            <wp:positionV relativeFrom="paragraph">
              <wp:posOffset>1213485</wp:posOffset>
            </wp:positionV>
            <wp:extent cx="1644650" cy="387604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0" cy="387604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rPr>
        <w:t>This study employed the Spatial Regression method, a statistical technique that considers spatial autocorrelation, or the influence that occurs between geographical regions. In this situation, the spatial regression method was chosen because cayenne pepper production in a district or city in West Nusa Tenggara (NTB) is likely influenced by production in surrounding areas. The model used was the Spatial Error Model (SEM), specifically designed to address spatial autocorrelation in regression model errors.</w:t>
      </w:r>
    </w:p>
    <w:p w14:paraId="7B054865" w14:textId="77777777" w:rsidR="00EB0744" w:rsidRDefault="00EB0744" w:rsidP="00EB0744">
      <w:pPr>
        <w:spacing w:before="240" w:after="240" w:line="240" w:lineRule="exact"/>
        <w:ind w:firstLine="720"/>
        <w:jc w:val="both"/>
        <w:rPr>
          <w:i/>
          <w:color w:val="034F84"/>
          <w:sz w:val="28"/>
          <w:szCs w:val="28"/>
        </w:rPr>
      </w:pPr>
    </w:p>
    <w:p w14:paraId="14B75277" w14:textId="77777777" w:rsidR="00EB0744" w:rsidRDefault="00EB0744" w:rsidP="00EB0744">
      <w:pPr>
        <w:spacing w:before="240" w:after="240" w:line="240" w:lineRule="exact"/>
        <w:ind w:firstLine="720"/>
        <w:jc w:val="center"/>
        <w:rPr>
          <w:iCs/>
          <w:color w:val="034F84"/>
        </w:rPr>
      </w:pPr>
      <w:r>
        <w:rPr>
          <w:b/>
          <w:bCs/>
          <w:iCs/>
          <w:color w:val="034F84"/>
        </w:rPr>
        <w:t>Figure 1.</w:t>
      </w:r>
      <w:r>
        <w:rPr>
          <w:iCs/>
          <w:color w:val="034F84"/>
        </w:rPr>
        <w:t xml:space="preserve"> Research Flow Diagram</w:t>
      </w:r>
    </w:p>
    <w:p w14:paraId="1A389D45" w14:textId="77777777" w:rsidR="00EB0744" w:rsidRDefault="00EB0744" w:rsidP="00EB0744">
      <w:pPr>
        <w:keepNext/>
        <w:jc w:val="both"/>
        <w:rPr>
          <w:lang w:val="en-ID" w:eastAsia="en-ID"/>
        </w:rPr>
      </w:pPr>
      <w:r>
        <w:rPr>
          <w:lang w:val="en-ID" w:eastAsia="en-ID"/>
        </w:rPr>
        <w:t>The analytical methods applied in this study can be explained through the following steps:</w:t>
      </w:r>
    </w:p>
    <w:p w14:paraId="08F62827" w14:textId="77777777" w:rsidR="00EB0744" w:rsidRDefault="00EB0744" w:rsidP="00EB0744">
      <w:pPr>
        <w:pStyle w:val="ListParagraph"/>
        <w:keepNext/>
        <w:widowControl/>
        <w:numPr>
          <w:ilvl w:val="0"/>
          <w:numId w:val="3"/>
        </w:numPr>
        <w:autoSpaceDE/>
        <w:autoSpaceDN/>
        <w:contextualSpacing/>
        <w:rPr>
          <w:lang w:val="en-ID" w:eastAsia="en-ID"/>
        </w:rPr>
      </w:pPr>
      <w:r>
        <w:rPr>
          <w:lang w:val="en-ID" w:eastAsia="en-ID"/>
        </w:rPr>
        <w:t>Data collection was carried out using secondary data from the West Nusa Tenggara Provincial Agriculture Office in 2024, covering ten regencies or cities.</w:t>
      </w:r>
    </w:p>
    <w:p w14:paraId="666F099A" w14:textId="77777777" w:rsidR="00EB0744" w:rsidRDefault="00EB0744" w:rsidP="00EB0744">
      <w:pPr>
        <w:pStyle w:val="ListParagraph"/>
        <w:keepNext/>
        <w:widowControl/>
        <w:numPr>
          <w:ilvl w:val="0"/>
          <w:numId w:val="3"/>
        </w:numPr>
        <w:autoSpaceDE/>
        <w:autoSpaceDN/>
        <w:contextualSpacing/>
        <w:rPr>
          <w:lang w:val="en-ID" w:eastAsia="en-ID"/>
        </w:rPr>
      </w:pPr>
      <w:r>
        <w:rPr>
          <w:lang w:val="en-ID" w:eastAsia="en-ID"/>
        </w:rPr>
        <w:t xml:space="preserve">The data was explored and </w:t>
      </w:r>
      <w:proofErr w:type="spellStart"/>
      <w:r>
        <w:rPr>
          <w:lang w:val="en-ID" w:eastAsia="en-ID"/>
        </w:rPr>
        <w:t>analyzed</w:t>
      </w:r>
      <w:proofErr w:type="spellEnd"/>
      <w:r>
        <w:rPr>
          <w:lang w:val="en-ID" w:eastAsia="en-ID"/>
        </w:rPr>
        <w:t xml:space="preserve"> in depth to determine the distribution of production across various regions, which was then visualized in graphs and thematic maps (</w:t>
      </w:r>
      <w:proofErr w:type="spellStart"/>
      <w:r>
        <w:rPr>
          <w:lang w:val="en-ID" w:eastAsia="en-ID"/>
        </w:rPr>
        <w:t>choropleths</w:t>
      </w:r>
      <w:proofErr w:type="spellEnd"/>
      <w:r>
        <w:rPr>
          <w:lang w:val="en-ID" w:eastAsia="en-ID"/>
        </w:rPr>
        <w:t>) using ArcView.</w:t>
      </w:r>
    </w:p>
    <w:p w14:paraId="4CD043F1" w14:textId="77777777" w:rsidR="00EB0744" w:rsidRDefault="00EB0744" w:rsidP="00EB0744">
      <w:pPr>
        <w:pStyle w:val="ListParagraph"/>
        <w:keepNext/>
        <w:widowControl/>
        <w:numPr>
          <w:ilvl w:val="0"/>
          <w:numId w:val="3"/>
        </w:numPr>
        <w:autoSpaceDE/>
        <w:autoSpaceDN/>
        <w:contextualSpacing/>
        <w:rPr>
          <w:lang w:val="en-ID" w:eastAsia="en-ID"/>
        </w:rPr>
      </w:pPr>
      <w:r>
        <w:rPr>
          <w:lang w:val="en-ID" w:eastAsia="en-ID"/>
        </w:rPr>
        <w:t>Spatial autocorrelation testing was performed using the Global Moran's Index to examine overall spatial patterns, and the Local Moran's Index (LISA) to identify areas exhibiting significant spatial patterns.</w:t>
      </w:r>
    </w:p>
    <w:p w14:paraId="6CCB5D13" w14:textId="77777777" w:rsidR="00EB0744" w:rsidRDefault="00EB0744" w:rsidP="00EB0744">
      <w:pPr>
        <w:pStyle w:val="ListParagraph"/>
        <w:keepNext/>
        <w:widowControl/>
        <w:numPr>
          <w:ilvl w:val="0"/>
          <w:numId w:val="3"/>
        </w:numPr>
        <w:autoSpaceDE/>
        <w:autoSpaceDN/>
        <w:contextualSpacing/>
        <w:rPr>
          <w:lang w:val="en-ID" w:eastAsia="en-ID"/>
        </w:rPr>
      </w:pPr>
      <w:r>
        <w:rPr>
          <w:lang w:val="en-ID" w:eastAsia="en-ID"/>
        </w:rPr>
        <w:t>The LM Error Test was conducted to identify whether there was spatial dependence in the OLS model errors, which will form the basis for selecting a spatial regression model.</w:t>
      </w:r>
    </w:p>
    <w:p w14:paraId="50BE8AA7" w14:textId="77777777" w:rsidR="00EB0744" w:rsidRDefault="00EB0744" w:rsidP="00EB0744">
      <w:pPr>
        <w:pStyle w:val="ListParagraph"/>
        <w:keepNext/>
        <w:widowControl/>
        <w:numPr>
          <w:ilvl w:val="0"/>
          <w:numId w:val="3"/>
        </w:numPr>
        <w:autoSpaceDE/>
        <w:autoSpaceDN/>
        <w:contextualSpacing/>
        <w:rPr>
          <w:lang w:val="en-ID" w:eastAsia="en-ID"/>
        </w:rPr>
      </w:pPr>
      <w:r>
        <w:rPr>
          <w:lang w:val="en-ID" w:eastAsia="en-ID"/>
        </w:rPr>
        <w:t>SEM model parameters were calculated to assess the impact of harvested area and productivity on cayenne pepper production, while taking into account autocorrelation in spatial errors through the lambda coefficient (λ).</w:t>
      </w:r>
    </w:p>
    <w:p w14:paraId="38DA001C" w14:textId="77777777" w:rsidR="00EB0744" w:rsidRDefault="00EB0744" w:rsidP="00EB0744">
      <w:pPr>
        <w:pStyle w:val="ListParagraph"/>
        <w:keepNext/>
        <w:widowControl/>
        <w:numPr>
          <w:ilvl w:val="0"/>
          <w:numId w:val="3"/>
        </w:numPr>
        <w:autoSpaceDE/>
        <w:autoSpaceDN/>
        <w:contextualSpacing/>
        <w:rPr>
          <w:lang w:val="en-ID" w:eastAsia="en-ID"/>
        </w:rPr>
      </w:pPr>
      <w:r>
        <w:rPr>
          <w:lang w:val="en-ID" w:eastAsia="en-ID"/>
        </w:rPr>
        <w:t xml:space="preserve">After the SEM model is formed, classical assumptions are tested, including residual normality, residual variance homogeneity, and freedom from </w:t>
      </w:r>
      <w:proofErr w:type="spellStart"/>
      <w:r>
        <w:rPr>
          <w:lang w:val="en-ID" w:eastAsia="en-ID"/>
        </w:rPr>
        <w:t>multicollinearity</w:t>
      </w:r>
      <w:proofErr w:type="spellEnd"/>
      <w:r>
        <w:rPr>
          <w:lang w:val="en-ID" w:eastAsia="en-ID"/>
        </w:rPr>
        <w:t xml:space="preserve"> among independent variables.</w:t>
      </w:r>
    </w:p>
    <w:p w14:paraId="1E430B0A" w14:textId="77777777" w:rsidR="00EB0744" w:rsidRDefault="00EB0744" w:rsidP="00EB0744">
      <w:pPr>
        <w:pStyle w:val="ListParagraph"/>
        <w:keepNext/>
        <w:widowControl/>
        <w:numPr>
          <w:ilvl w:val="0"/>
          <w:numId w:val="3"/>
        </w:numPr>
        <w:autoSpaceDE/>
        <w:autoSpaceDN/>
        <w:contextualSpacing/>
        <w:rPr>
          <w:lang w:val="en-ID" w:eastAsia="en-ID"/>
        </w:rPr>
      </w:pPr>
      <w:r>
        <w:rPr>
          <w:lang w:val="en-ID" w:eastAsia="en-ID"/>
        </w:rPr>
        <w:t xml:space="preserve">Evaluation is conducted by comparing the SEM model with the classical linear regression (OLS) model based on the main criterion, namely the </w:t>
      </w:r>
      <w:proofErr w:type="spellStart"/>
      <w:r>
        <w:rPr>
          <w:lang w:val="en-ID" w:eastAsia="en-ID"/>
        </w:rPr>
        <w:t>Akaike</w:t>
      </w:r>
      <w:proofErr w:type="spellEnd"/>
      <w:r>
        <w:rPr>
          <w:lang w:val="en-ID" w:eastAsia="en-ID"/>
        </w:rPr>
        <w:t xml:space="preserve"> Information Criterion (AIC).</w:t>
      </w:r>
    </w:p>
    <w:p w14:paraId="6DBD3D2D" w14:textId="70CA356C" w:rsidR="00427E46" w:rsidRDefault="00427E46" w:rsidP="00EB0744">
      <w:pPr>
        <w:pStyle w:val="BodyText"/>
        <w:spacing w:before="49" w:line="276" w:lineRule="auto"/>
        <w:ind w:left="0" w:right="307"/>
      </w:pPr>
    </w:p>
    <w:p w14:paraId="148DF98D" w14:textId="77777777" w:rsidR="00427E46" w:rsidRDefault="00427E46">
      <w:pPr>
        <w:pStyle w:val="BodyText"/>
        <w:spacing w:before="44"/>
        <w:ind w:left="0"/>
        <w:jc w:val="left"/>
      </w:pPr>
    </w:p>
    <w:p w14:paraId="25AB5AC9" w14:textId="6BC685CE" w:rsidR="00427E46" w:rsidRPr="00624536" w:rsidRDefault="00FD3C9E">
      <w:pPr>
        <w:pStyle w:val="Heading1"/>
        <w:numPr>
          <w:ilvl w:val="0"/>
          <w:numId w:val="1"/>
        </w:numPr>
        <w:tabs>
          <w:tab w:val="left" w:pos="3651"/>
        </w:tabs>
        <w:ind w:left="3651" w:hanging="279"/>
        <w:jc w:val="both"/>
      </w:pPr>
      <w:r>
        <w:t>Result</w:t>
      </w:r>
      <w:r>
        <w:rPr>
          <w:spacing w:val="-4"/>
        </w:rPr>
        <w:t xml:space="preserve"> </w:t>
      </w:r>
      <w:r>
        <w:t>and</w:t>
      </w:r>
      <w:r>
        <w:rPr>
          <w:spacing w:val="-6"/>
        </w:rPr>
        <w:t xml:space="preserve"> </w:t>
      </w:r>
      <w:r>
        <w:rPr>
          <w:spacing w:val="-2"/>
        </w:rPr>
        <w:t>Discussion</w:t>
      </w:r>
    </w:p>
    <w:p w14:paraId="3A08252D" w14:textId="77777777" w:rsidR="00624536" w:rsidRDefault="00624536" w:rsidP="00624536">
      <w:pPr>
        <w:pStyle w:val="Heading1"/>
        <w:tabs>
          <w:tab w:val="left" w:pos="3651"/>
        </w:tabs>
        <w:ind w:left="3651" w:firstLine="0"/>
        <w:jc w:val="right"/>
      </w:pPr>
    </w:p>
    <w:p w14:paraId="4243F843" w14:textId="77777777" w:rsidR="002F6CA8" w:rsidRDefault="00624536" w:rsidP="002F6CA8">
      <w:pPr>
        <w:ind w:firstLine="720"/>
        <w:jc w:val="both"/>
        <w:rPr>
          <w:noProof/>
          <w:lang w:val="en-ID"/>
        </w:rPr>
      </w:pPr>
      <w:r>
        <w:t>Th</w:t>
      </w:r>
      <w:r w:rsidR="00EB0744">
        <w:t xml:space="preserve">e </w:t>
      </w:r>
      <w:r w:rsidR="002F6CA8">
        <w:rPr>
          <w:noProof/>
          <w:lang w:val="en-ID"/>
        </w:rPr>
        <w:t xml:space="preserve">2024 cayenne pepper production chart in West Nusa Tenggara Province shows significant imbalances between regions. East Lombok leads the pack with production reaching over 650,000 quintals, far exceeding that of other regencies or cities. Meanwhile, regions such as North Lombok, Bima, and Sumbawa recorded medium-level production, while other regions, such as Mataram City, Bima City, and West Sumbawa, showed very low levels. This unevenness reflects variations in land conditions, productivity levels, and </w:t>
      </w:r>
      <w:r w:rsidR="002F6CA8">
        <w:rPr>
          <w:noProof/>
          <w:lang w:val="en-ID"/>
        </w:rPr>
        <w:lastRenderedPageBreak/>
        <w:t>economic focus across regions and can be taken into consideration in formulating regional agricultural development policies.</w:t>
      </w:r>
    </w:p>
    <w:p w14:paraId="449809F7" w14:textId="04E0C018" w:rsidR="002F6CA8" w:rsidRDefault="002F6CA8" w:rsidP="002F6CA8">
      <w:pPr>
        <w:jc w:val="both"/>
        <w:rPr>
          <w:noProof/>
          <w:lang w:val="en-ID"/>
        </w:rPr>
      </w:pPr>
      <w:r>
        <w:rPr>
          <w:noProof/>
        </w:rPr>
        <w:drawing>
          <wp:inline distT="0" distB="0" distL="0" distR="0" wp14:anchorId="4570E894" wp14:editId="5D1F2D1D">
            <wp:extent cx="5788660" cy="2695575"/>
            <wp:effectExtent l="0" t="0" r="2540" b="9525"/>
            <wp:docPr id="1407301320" name="Chart 140730132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4D0CF7F-0BF0-8C0B-89C6-EC8C4CE766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C32A97" w14:textId="77777777" w:rsidR="002F6CA8" w:rsidRPr="002F6CA8" w:rsidRDefault="002F6CA8" w:rsidP="002F6CA8">
      <w:pPr>
        <w:spacing w:before="240" w:after="240" w:line="240" w:lineRule="exact"/>
        <w:jc w:val="center"/>
        <w:rPr>
          <w:iCs/>
          <w:lang w:val="id-ID"/>
        </w:rPr>
      </w:pPr>
      <w:r w:rsidRPr="002F6CA8">
        <w:rPr>
          <w:b/>
          <w:bCs/>
          <w:iCs/>
        </w:rPr>
        <w:t>Figure 2.</w:t>
      </w:r>
      <w:r w:rsidRPr="002F6CA8">
        <w:rPr>
          <w:iCs/>
        </w:rPr>
        <w:t xml:space="preserve"> Production of Cayenne Pepper in 2024</w:t>
      </w:r>
    </w:p>
    <w:p w14:paraId="35459EE0" w14:textId="77777777" w:rsidR="002F6CA8" w:rsidRDefault="002F6CA8" w:rsidP="002F6CA8">
      <w:pPr>
        <w:ind w:firstLine="720"/>
        <w:jc w:val="both"/>
        <w:rPr>
          <w:rFonts w:eastAsia="Calibri"/>
          <w:noProof/>
          <w:lang w:val="en-ID"/>
        </w:rPr>
      </w:pPr>
      <w:r>
        <w:rPr>
          <w:noProof/>
          <w:lang w:val="en-ID"/>
        </w:rPr>
        <w:t>Chili pepper production in West Nusa Tenggara Province in 2024 showed an influence from surrounding areas. This is evidenced by the global and local Moran's index values. Although the global Moran's index of -0.111 with a p-value of 0.052000 (below α=10%) statistically indicates positive spatial autocorrelation, local analysis yields a different conclusion.</w:t>
      </w:r>
    </w:p>
    <w:p w14:paraId="4AECBDCF" w14:textId="77777777" w:rsidR="002F6CA8" w:rsidRDefault="002F6CA8" w:rsidP="002F6CA8">
      <w:pPr>
        <w:ind w:firstLine="720"/>
        <w:jc w:val="both"/>
        <w:rPr>
          <w:noProof/>
          <w:lang w:val="en-ID"/>
        </w:rPr>
      </w:pPr>
      <w:r>
        <w:rPr>
          <w:noProof/>
          <w:lang w:val="en-ID"/>
        </w:rPr>
        <w:t>Globally, cayenne pepper productivity in NTB exhibits spatial autocorrelation. However, when viewed locally, the results differ. Based on local Moran's index values, ten regions showed significance at an error level of α=10%. These regions are West Lombok Regency, Central Lombok, East Lombok, Sumbawa, Dompu, Bima, West Sumbawa, North Lombok, Mataram City, and Bima City. These ten regions were then grouped into four distinct quadrants using a Moran scatterplot, the results of which are shown in Figure 4.</w:t>
      </w:r>
    </w:p>
    <w:p w14:paraId="773A7E25" w14:textId="0C377B53" w:rsidR="002F6CA8" w:rsidRDefault="002F6CA8" w:rsidP="002F6CA8">
      <w:pPr>
        <w:rPr>
          <w:noProof/>
          <w:lang w:val="id-ID"/>
        </w:rPr>
      </w:pPr>
      <w:r>
        <w:rPr>
          <w:rFonts w:ascii="Calibri" w:hAnsi="Calibri" w:cs="Calibri"/>
          <w:noProof/>
        </w:rPr>
        <w:drawing>
          <wp:anchor distT="0" distB="0" distL="114300" distR="114300" simplePos="0" relativeHeight="251660288" behindDoc="0" locked="0" layoutInCell="1" allowOverlap="1" wp14:anchorId="5E47A6FC" wp14:editId="2CD54151">
            <wp:simplePos x="0" y="0"/>
            <wp:positionH relativeFrom="column">
              <wp:posOffset>5093335</wp:posOffset>
            </wp:positionH>
            <wp:positionV relativeFrom="paragraph">
              <wp:posOffset>1490980</wp:posOffset>
            </wp:positionV>
            <wp:extent cx="485775" cy="669925"/>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 cy="669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7974052" wp14:editId="410126BD">
            <wp:extent cx="5756910" cy="22421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2242185"/>
                    </a:xfrm>
                    <a:prstGeom prst="rect">
                      <a:avLst/>
                    </a:prstGeom>
                    <a:noFill/>
                    <a:ln>
                      <a:noFill/>
                    </a:ln>
                  </pic:spPr>
                </pic:pic>
              </a:graphicData>
            </a:graphic>
          </wp:inline>
        </w:drawing>
      </w:r>
    </w:p>
    <w:p w14:paraId="1A064A61" w14:textId="77777777" w:rsidR="002F6CA8" w:rsidRPr="002F6CA8" w:rsidRDefault="002F6CA8" w:rsidP="002F6CA8">
      <w:pPr>
        <w:spacing w:before="240" w:after="240" w:line="240" w:lineRule="exact"/>
        <w:jc w:val="center"/>
        <w:rPr>
          <w:iCs/>
        </w:rPr>
      </w:pPr>
      <w:r w:rsidRPr="002F6CA8">
        <w:rPr>
          <w:b/>
          <w:bCs/>
          <w:iCs/>
        </w:rPr>
        <w:t>Figure 3.</w:t>
      </w:r>
      <w:r w:rsidRPr="002F6CA8">
        <w:rPr>
          <w:iCs/>
        </w:rPr>
        <w:t xml:space="preserve"> </w:t>
      </w:r>
      <w:r w:rsidRPr="002F6CA8">
        <w:rPr>
          <w:noProof/>
        </w:rPr>
        <w:t>Thematic Map of Chili Pepper Productivity in Each City/Regency</w:t>
      </w:r>
    </w:p>
    <w:p w14:paraId="7E60254E" w14:textId="77777777" w:rsidR="002F6CA8" w:rsidRDefault="002F6CA8" w:rsidP="002F6CA8">
      <w:pPr>
        <w:ind w:firstLine="720"/>
        <w:jc w:val="both"/>
        <w:rPr>
          <w:rFonts w:eastAsia="Calibri"/>
          <w:lang w:val="en-ID"/>
        </w:rPr>
      </w:pPr>
      <w:r>
        <w:rPr>
          <w:lang w:val="en-ID"/>
        </w:rPr>
        <w:t xml:space="preserve">Chili pepper productivity in West Nusa Tenggara Province in 2024 showed an influence from </w:t>
      </w:r>
      <w:proofErr w:type="spellStart"/>
      <w:r>
        <w:rPr>
          <w:lang w:val="en-ID"/>
        </w:rPr>
        <w:t>neighboring</w:t>
      </w:r>
      <w:proofErr w:type="spellEnd"/>
      <w:r>
        <w:rPr>
          <w:lang w:val="en-ID"/>
        </w:rPr>
        <w:t xml:space="preserve"> regions. This is evident through Moran's index analysis, both at the global and local scales. The global Moran's index of -0.111 with a p-value of 0.052000 (less than α=10%) indicates a fairly strong positive spatial autocorrelation. This means that regions with high chili pepper productivity tend to contribute to high productivity in their surroundings, and vice versa for regions with low productivity.</w:t>
      </w:r>
    </w:p>
    <w:p w14:paraId="498418C5" w14:textId="77777777" w:rsidR="002F6CA8" w:rsidRDefault="002F6CA8" w:rsidP="002F6CA8">
      <w:pPr>
        <w:ind w:firstLine="720"/>
        <w:jc w:val="both"/>
        <w:rPr>
          <w:lang w:val="en-ID"/>
        </w:rPr>
      </w:pPr>
      <w:r>
        <w:rPr>
          <w:lang w:val="en-ID"/>
        </w:rPr>
        <w:t>However, when examined more closely at the local level, the Moran's analysis yields a different conclusion. The local Moran's index identified one significant region and nine potential regions out of ten observed regions, with an error margin of α=10%. These ten regions were then categorized into four distinct quadrants, as shown in the Moran's Scatter Plot in Figure 4.</w:t>
      </w:r>
    </w:p>
    <w:p w14:paraId="6BB72C15" w14:textId="21AA0119" w:rsidR="002F6CA8" w:rsidRDefault="002F6CA8" w:rsidP="002F6CA8">
      <w:pPr>
        <w:jc w:val="center"/>
        <w:rPr>
          <w:lang w:val="en-ID"/>
        </w:rPr>
      </w:pPr>
      <w:r>
        <w:rPr>
          <w:noProof/>
        </w:rPr>
        <w:lastRenderedPageBreak/>
        <w:drawing>
          <wp:inline distT="0" distB="0" distL="0" distR="0" wp14:anchorId="208B595D" wp14:editId="054E2339">
            <wp:extent cx="2536190" cy="22104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6190" cy="2210435"/>
                    </a:xfrm>
                    <a:prstGeom prst="rect">
                      <a:avLst/>
                    </a:prstGeom>
                    <a:noFill/>
                    <a:ln>
                      <a:noFill/>
                    </a:ln>
                  </pic:spPr>
                </pic:pic>
              </a:graphicData>
            </a:graphic>
          </wp:inline>
        </w:drawing>
      </w:r>
    </w:p>
    <w:p w14:paraId="6D231EC2" w14:textId="77777777" w:rsidR="002F6CA8" w:rsidRPr="002F6CA8" w:rsidRDefault="002F6CA8" w:rsidP="002F6CA8">
      <w:pPr>
        <w:jc w:val="center"/>
        <w:rPr>
          <w:lang w:val="en-ID"/>
        </w:rPr>
      </w:pPr>
      <w:r w:rsidRPr="002F6CA8">
        <w:rPr>
          <w:b/>
          <w:bCs/>
          <w:lang w:val="en-ID"/>
        </w:rPr>
        <w:t>Figure 4.</w:t>
      </w:r>
      <w:r w:rsidRPr="002F6CA8">
        <w:rPr>
          <w:lang w:val="en-ID"/>
        </w:rPr>
        <w:t xml:space="preserve"> Moran Planning Plot of Chili Pepper Productivity</w:t>
      </w:r>
    </w:p>
    <w:p w14:paraId="775FDF80" w14:textId="77777777" w:rsidR="002F6CA8" w:rsidRDefault="002F6CA8" w:rsidP="002F6CA8">
      <w:pPr>
        <w:ind w:firstLine="567"/>
        <w:jc w:val="both"/>
        <w:rPr>
          <w:lang w:val="id-ID"/>
        </w:rPr>
      </w:pPr>
    </w:p>
    <w:p w14:paraId="340E286A" w14:textId="77777777" w:rsidR="002F6CA8" w:rsidRDefault="002F6CA8" w:rsidP="002F6CA8">
      <w:pPr>
        <w:ind w:firstLine="567"/>
        <w:jc w:val="both"/>
      </w:pPr>
      <w:r>
        <w:t>Visualization of the ten significant regions, divided into four Moran quadrants: High-High, Low-Low, Low-High, and High-low. The High-High, Low-Low, Low-High, and High-low quadrants are each filled by one significant district/city, namely Sumbawa Regency, which indicates high productivity in the area. This condition has the potential to affect the stability of the quality or production of cayenne pepper in the surrounding area if not handled properly. Conversely, Sumbawa Regency, which is shown in (blue), is actually in the Low-High quadrant, which means that cayenne pepper productivity in the region is low. For now, insignificant regions (at α = 10%) are marked in gray.</w:t>
      </w:r>
    </w:p>
    <w:p w14:paraId="1E31282D" w14:textId="04D8F417" w:rsidR="002F6CA8" w:rsidRDefault="002F6CA8" w:rsidP="002F6CA8">
      <w:r>
        <w:rPr>
          <w:rFonts w:ascii="Calibri" w:hAnsi="Calibri" w:cs="Calibri"/>
          <w:noProof/>
        </w:rPr>
        <w:drawing>
          <wp:anchor distT="0" distB="0" distL="114300" distR="114300" simplePos="0" relativeHeight="251661312" behindDoc="0" locked="0" layoutInCell="1" allowOverlap="1" wp14:anchorId="7DDDEA42" wp14:editId="146F172E">
            <wp:simplePos x="0" y="0"/>
            <wp:positionH relativeFrom="column">
              <wp:posOffset>4874895</wp:posOffset>
            </wp:positionH>
            <wp:positionV relativeFrom="paragraph">
              <wp:posOffset>1527810</wp:posOffset>
            </wp:positionV>
            <wp:extent cx="776605" cy="624205"/>
            <wp:effectExtent l="0" t="0" r="444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l="278" t="23663" r="85326" b="49162"/>
                    <a:stretch>
                      <a:fillRect/>
                    </a:stretch>
                  </pic:blipFill>
                  <pic:spPr bwMode="auto">
                    <a:xfrm>
                      <a:off x="0" y="0"/>
                      <a:ext cx="776605" cy="6242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CF01AE1" wp14:editId="1828F1CF">
            <wp:extent cx="5709285" cy="2226310"/>
            <wp:effectExtent l="0" t="0" r="571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l="17192" t="16434" b="7841"/>
                    <a:stretch>
                      <a:fillRect/>
                    </a:stretch>
                  </pic:blipFill>
                  <pic:spPr bwMode="auto">
                    <a:xfrm>
                      <a:off x="0" y="0"/>
                      <a:ext cx="5709285" cy="2226310"/>
                    </a:xfrm>
                    <a:prstGeom prst="rect">
                      <a:avLst/>
                    </a:prstGeom>
                    <a:noFill/>
                    <a:ln>
                      <a:noFill/>
                    </a:ln>
                  </pic:spPr>
                </pic:pic>
              </a:graphicData>
            </a:graphic>
          </wp:inline>
        </w:drawing>
      </w:r>
      <w:r>
        <w:rPr>
          <w:noProof/>
        </w:rPr>
        <w:t xml:space="preserve"> </w:t>
      </w:r>
    </w:p>
    <w:p w14:paraId="5EDF0CA1" w14:textId="77777777" w:rsidR="002F6CA8" w:rsidRPr="002F6CA8" w:rsidRDefault="002F6CA8" w:rsidP="002F6CA8">
      <w:pPr>
        <w:jc w:val="center"/>
        <w:rPr>
          <w:lang w:val="en-ID"/>
        </w:rPr>
      </w:pPr>
      <w:r w:rsidRPr="002F6CA8">
        <w:rPr>
          <w:b/>
          <w:bCs/>
          <w:lang w:val="en-ID"/>
        </w:rPr>
        <w:t>Figure 4.</w:t>
      </w:r>
      <w:r w:rsidRPr="002F6CA8">
        <w:rPr>
          <w:lang w:val="en-ID"/>
        </w:rPr>
        <w:t xml:space="preserve"> Thematic Map Based on Local Moran's Test</w:t>
      </w:r>
    </w:p>
    <w:p w14:paraId="2DF464DD" w14:textId="77777777" w:rsidR="002F6CA8" w:rsidRDefault="002F6CA8" w:rsidP="002F6CA8">
      <w:pPr>
        <w:jc w:val="both"/>
        <w:rPr>
          <w:color w:val="1F497D" w:themeColor="text2"/>
          <w:lang w:val="en-ID"/>
        </w:rPr>
      </w:pPr>
    </w:p>
    <w:p w14:paraId="13CE4D1A" w14:textId="77777777" w:rsidR="002F6CA8" w:rsidRDefault="002F6CA8" w:rsidP="002F6CA8">
      <w:pPr>
        <w:ind w:firstLine="720"/>
        <w:jc w:val="both"/>
        <w:rPr>
          <w:lang w:val="en-ID"/>
        </w:rPr>
      </w:pPr>
      <w:r>
        <w:rPr>
          <w:lang w:val="en-ID"/>
        </w:rPr>
        <w:t>Based on the Spatial Error Model (SEM) regression output you provided, the resulting formula is as follows: y^ = -3.92556e+06+ 1.66667Wy + 96.6132X1 + 44385.5X2</w:t>
      </w:r>
    </w:p>
    <w:p w14:paraId="6C70979D" w14:textId="77777777" w:rsidR="002F6CA8" w:rsidRDefault="002F6CA8" w:rsidP="002F6CA8">
      <w:pPr>
        <w:ind w:firstLine="720"/>
        <w:jc w:val="both"/>
        <w:rPr>
          <w:lang w:val="en-ID"/>
        </w:rPr>
      </w:pPr>
      <w:r>
        <w:rPr>
          <w:lang w:val="en-ID"/>
        </w:rPr>
        <w:t>The results of the SEM model estimation and testing can be seen in Table 2. From these results, two explanatory variables were obtained with probability values ​​less than α=10%.</w:t>
      </w:r>
    </w:p>
    <w:p w14:paraId="36755294" w14:textId="77777777" w:rsidR="002F6CA8" w:rsidRDefault="002F6CA8" w:rsidP="002F6CA8">
      <w:pPr>
        <w:ind w:firstLine="720"/>
        <w:jc w:val="both"/>
        <w:rPr>
          <w:lang w:val="en-ID"/>
        </w:rPr>
      </w:pPr>
      <w:r>
        <w:rPr>
          <w:lang w:val="en-ID"/>
        </w:rPr>
        <w:t xml:space="preserve">This indicates that both explanatory variables have a significant effect on the productivity of cayenne pepper in West Nusa Tenggara at a significance level of 10%. The two significant explanatory variables found are: Harvested Area of ​​Cayenne Pepper (X1) and Productivity of Cayenne Pepper (X2). In addition to these two significant explanatory variables, there is also a new significant coefficient, </w:t>
      </w:r>
      <w:proofErr w:type="gramStart"/>
      <w:r>
        <w:rPr>
          <w:lang w:val="en-ID"/>
        </w:rPr>
        <w:t>namely .</w:t>
      </w:r>
      <w:proofErr w:type="gramEnd"/>
      <w:r>
        <w:rPr>
          <w:lang w:val="en-ID"/>
        </w:rPr>
        <w:t xml:space="preserve"> The resulting SEM model is considered appropriate because it meets all the assumptions of classical linear regression, namely, normally distributed residuals, homogeneous residual variances, and independent residuals.</w:t>
      </w:r>
    </w:p>
    <w:p w14:paraId="4DEDCB03" w14:textId="77777777" w:rsidR="002F6CA8" w:rsidRPr="002F6CA8" w:rsidRDefault="002F6CA8" w:rsidP="002F6CA8">
      <w:pPr>
        <w:jc w:val="center"/>
        <w:rPr>
          <w:lang w:val="id-ID"/>
        </w:rPr>
      </w:pPr>
      <w:r w:rsidRPr="002F6CA8">
        <w:rPr>
          <w:b/>
          <w:bCs/>
        </w:rPr>
        <w:t>Table 2.</w:t>
      </w:r>
      <w:r w:rsidRPr="002F6CA8">
        <w:t xml:space="preserve"> Testing and Estimation of SEM Model Parameters</w:t>
      </w:r>
    </w:p>
    <w:tbl>
      <w:tblPr>
        <w:tblStyle w:val="TableGrid"/>
        <w:tblW w:w="9076" w:type="dxa"/>
        <w:jc w:val="center"/>
        <w:tblLook w:val="04A0" w:firstRow="1" w:lastRow="0" w:firstColumn="1" w:lastColumn="0" w:noHBand="0" w:noVBand="1"/>
      </w:tblPr>
      <w:tblGrid>
        <w:gridCol w:w="2269"/>
        <w:gridCol w:w="2269"/>
        <w:gridCol w:w="2269"/>
        <w:gridCol w:w="2269"/>
      </w:tblGrid>
      <w:tr w:rsidR="002F6CA8" w14:paraId="17A7D5BD" w14:textId="77777777" w:rsidTr="002F6CA8">
        <w:trPr>
          <w:trHeight w:val="287"/>
          <w:jc w:val="center"/>
        </w:trPr>
        <w:tc>
          <w:tcPr>
            <w:tcW w:w="2269" w:type="dxa"/>
            <w:tcBorders>
              <w:top w:val="single" w:sz="4" w:space="0" w:color="auto"/>
              <w:left w:val="nil"/>
              <w:bottom w:val="single" w:sz="4" w:space="0" w:color="auto"/>
              <w:right w:val="nil"/>
            </w:tcBorders>
            <w:hideMark/>
          </w:tcPr>
          <w:p w14:paraId="3692045D" w14:textId="77777777" w:rsidR="002F6CA8" w:rsidRDefault="002F6CA8">
            <w:pPr>
              <w:rPr>
                <w:lang w:val="sv-SE"/>
              </w:rPr>
            </w:pPr>
            <w:r>
              <w:rPr>
                <w:lang w:val="sv-SE"/>
              </w:rPr>
              <w:t>Predictor</w:t>
            </w:r>
          </w:p>
        </w:tc>
        <w:tc>
          <w:tcPr>
            <w:tcW w:w="2269" w:type="dxa"/>
            <w:tcBorders>
              <w:top w:val="single" w:sz="4" w:space="0" w:color="auto"/>
              <w:left w:val="nil"/>
              <w:bottom w:val="single" w:sz="4" w:space="0" w:color="auto"/>
              <w:right w:val="nil"/>
            </w:tcBorders>
            <w:hideMark/>
          </w:tcPr>
          <w:p w14:paraId="1ABE2833" w14:textId="77777777" w:rsidR="002F6CA8" w:rsidRDefault="002F6CA8">
            <w:pPr>
              <w:rPr>
                <w:lang w:val="sv-SE"/>
              </w:rPr>
            </w:pPr>
            <w:r>
              <w:rPr>
                <w:lang w:val="sv-SE"/>
              </w:rPr>
              <w:t>Coefficient</w:t>
            </w:r>
          </w:p>
        </w:tc>
        <w:tc>
          <w:tcPr>
            <w:tcW w:w="2269" w:type="dxa"/>
            <w:tcBorders>
              <w:top w:val="single" w:sz="4" w:space="0" w:color="auto"/>
              <w:left w:val="nil"/>
              <w:bottom w:val="single" w:sz="4" w:space="0" w:color="auto"/>
              <w:right w:val="nil"/>
            </w:tcBorders>
            <w:hideMark/>
          </w:tcPr>
          <w:p w14:paraId="0C18D9CA" w14:textId="77777777" w:rsidR="002F6CA8" w:rsidRDefault="002F6CA8">
            <w:pPr>
              <w:rPr>
                <w:lang w:val="sv-SE"/>
              </w:rPr>
            </w:pPr>
            <w:r>
              <w:rPr>
                <w:lang w:val="sv-SE"/>
              </w:rPr>
              <w:t>Z</w:t>
            </w:r>
          </w:p>
        </w:tc>
        <w:tc>
          <w:tcPr>
            <w:tcW w:w="2269" w:type="dxa"/>
            <w:tcBorders>
              <w:top w:val="single" w:sz="4" w:space="0" w:color="auto"/>
              <w:left w:val="nil"/>
              <w:bottom w:val="single" w:sz="4" w:space="0" w:color="auto"/>
              <w:right w:val="nil"/>
            </w:tcBorders>
            <w:hideMark/>
          </w:tcPr>
          <w:p w14:paraId="3067C2C5" w14:textId="77777777" w:rsidR="002F6CA8" w:rsidRDefault="002F6CA8">
            <w:pPr>
              <w:rPr>
                <w:lang w:val="sv-SE"/>
              </w:rPr>
            </w:pPr>
            <w:r>
              <w:rPr>
                <w:lang w:val="sv-SE"/>
              </w:rPr>
              <w:t>p</w:t>
            </w:r>
          </w:p>
        </w:tc>
      </w:tr>
      <w:tr w:rsidR="002F6CA8" w14:paraId="5888ABBD" w14:textId="77777777" w:rsidTr="002F6CA8">
        <w:trPr>
          <w:trHeight w:val="287"/>
          <w:jc w:val="center"/>
        </w:trPr>
        <w:tc>
          <w:tcPr>
            <w:tcW w:w="2269" w:type="dxa"/>
            <w:tcBorders>
              <w:top w:val="single" w:sz="4" w:space="0" w:color="auto"/>
              <w:left w:val="nil"/>
              <w:bottom w:val="nil"/>
              <w:right w:val="nil"/>
            </w:tcBorders>
            <w:hideMark/>
          </w:tcPr>
          <w:p w14:paraId="1CBF62CB" w14:textId="77777777" w:rsidR="002F6CA8" w:rsidRDefault="002F6CA8">
            <w:pPr>
              <w:rPr>
                <w:lang w:val="sv-SE"/>
              </w:rPr>
            </w:pPr>
            <w:r>
              <w:rPr>
                <w:lang w:val="sv-SE"/>
              </w:rPr>
              <w:t>Constant</w:t>
            </w:r>
          </w:p>
        </w:tc>
        <w:tc>
          <w:tcPr>
            <w:tcW w:w="2269" w:type="dxa"/>
            <w:tcBorders>
              <w:top w:val="single" w:sz="4" w:space="0" w:color="auto"/>
              <w:left w:val="nil"/>
              <w:bottom w:val="nil"/>
              <w:right w:val="nil"/>
            </w:tcBorders>
            <w:hideMark/>
          </w:tcPr>
          <w:p w14:paraId="753DC2E2" w14:textId="77777777" w:rsidR="002F6CA8" w:rsidRDefault="002F6CA8">
            <w:pPr>
              <w:rPr>
                <w:lang w:val="sv-SE"/>
              </w:rPr>
            </w:pPr>
            <w:r>
              <w:rPr>
                <w:lang w:val="sv-SE"/>
              </w:rPr>
              <w:t>-3.92556e+06</w:t>
            </w:r>
          </w:p>
        </w:tc>
        <w:tc>
          <w:tcPr>
            <w:tcW w:w="2269" w:type="dxa"/>
            <w:tcBorders>
              <w:top w:val="single" w:sz="4" w:space="0" w:color="auto"/>
              <w:left w:val="nil"/>
              <w:bottom w:val="nil"/>
              <w:right w:val="nil"/>
            </w:tcBorders>
            <w:hideMark/>
          </w:tcPr>
          <w:p w14:paraId="5D6A60B2" w14:textId="77777777" w:rsidR="002F6CA8" w:rsidRDefault="002F6CA8">
            <w:pPr>
              <w:rPr>
                <w:lang w:val="sv-SE"/>
              </w:rPr>
            </w:pPr>
            <w:r>
              <w:rPr>
                <w:lang w:val="sv-SE"/>
              </w:rPr>
              <w:t>-3.49926</w:t>
            </w:r>
          </w:p>
        </w:tc>
        <w:tc>
          <w:tcPr>
            <w:tcW w:w="2269" w:type="dxa"/>
            <w:tcBorders>
              <w:top w:val="single" w:sz="4" w:space="0" w:color="auto"/>
              <w:left w:val="nil"/>
              <w:bottom w:val="nil"/>
              <w:right w:val="nil"/>
            </w:tcBorders>
            <w:hideMark/>
          </w:tcPr>
          <w:p w14:paraId="550C6B99" w14:textId="77777777" w:rsidR="002F6CA8" w:rsidRDefault="002F6CA8">
            <w:pPr>
              <w:rPr>
                <w:lang w:val="sv-SE"/>
              </w:rPr>
            </w:pPr>
            <w:r>
              <w:rPr>
                <w:lang w:val="sv-SE"/>
              </w:rPr>
              <w:t>0.00047</w:t>
            </w:r>
          </w:p>
        </w:tc>
      </w:tr>
      <w:tr w:rsidR="002F6CA8" w14:paraId="4BD9E57F" w14:textId="77777777" w:rsidTr="002F6CA8">
        <w:trPr>
          <w:trHeight w:val="287"/>
          <w:jc w:val="center"/>
        </w:trPr>
        <w:tc>
          <w:tcPr>
            <w:tcW w:w="2269" w:type="dxa"/>
            <w:tcBorders>
              <w:top w:val="nil"/>
              <w:left w:val="nil"/>
              <w:bottom w:val="nil"/>
              <w:right w:val="nil"/>
            </w:tcBorders>
            <w:hideMark/>
          </w:tcPr>
          <w:p w14:paraId="0E3165BA" w14:textId="77777777" w:rsidR="002F6CA8" w:rsidRDefault="002F6CA8">
            <w:pPr>
              <w:rPr>
                <w:vertAlign w:val="superscript"/>
                <w:lang w:val="sv-SE"/>
              </w:rPr>
            </w:pPr>
            <w:r>
              <w:rPr>
                <w:lang w:val="sv-SE"/>
              </w:rPr>
              <w:t>Harvested Area X</w:t>
            </w:r>
            <w:r>
              <w:rPr>
                <w:vertAlign w:val="superscript"/>
                <w:lang w:val="sv-SE"/>
              </w:rPr>
              <w:t>1</w:t>
            </w:r>
          </w:p>
        </w:tc>
        <w:tc>
          <w:tcPr>
            <w:tcW w:w="2269" w:type="dxa"/>
            <w:tcBorders>
              <w:top w:val="nil"/>
              <w:left w:val="nil"/>
              <w:bottom w:val="nil"/>
              <w:right w:val="nil"/>
            </w:tcBorders>
            <w:hideMark/>
          </w:tcPr>
          <w:p w14:paraId="181851E9" w14:textId="77777777" w:rsidR="002F6CA8" w:rsidRDefault="002F6CA8">
            <w:pPr>
              <w:rPr>
                <w:lang w:val="sv-SE"/>
              </w:rPr>
            </w:pPr>
            <w:r>
              <w:rPr>
                <w:lang w:val="sv-SE"/>
              </w:rPr>
              <w:t>96.6132</w:t>
            </w:r>
          </w:p>
        </w:tc>
        <w:tc>
          <w:tcPr>
            <w:tcW w:w="2269" w:type="dxa"/>
            <w:tcBorders>
              <w:top w:val="nil"/>
              <w:left w:val="nil"/>
              <w:bottom w:val="nil"/>
              <w:right w:val="nil"/>
            </w:tcBorders>
            <w:hideMark/>
          </w:tcPr>
          <w:p w14:paraId="780B1A1A" w14:textId="77777777" w:rsidR="002F6CA8" w:rsidRDefault="002F6CA8">
            <w:pPr>
              <w:rPr>
                <w:lang w:val="sv-SE"/>
              </w:rPr>
            </w:pPr>
            <w:r>
              <w:rPr>
                <w:lang w:val="sv-SE"/>
              </w:rPr>
              <w:t>40.1092</w:t>
            </w:r>
          </w:p>
        </w:tc>
        <w:tc>
          <w:tcPr>
            <w:tcW w:w="2269" w:type="dxa"/>
            <w:tcBorders>
              <w:top w:val="nil"/>
              <w:left w:val="nil"/>
              <w:bottom w:val="nil"/>
              <w:right w:val="nil"/>
            </w:tcBorders>
            <w:hideMark/>
          </w:tcPr>
          <w:p w14:paraId="5CF55C11" w14:textId="77777777" w:rsidR="002F6CA8" w:rsidRDefault="002F6CA8">
            <w:pPr>
              <w:rPr>
                <w:lang w:val="sv-SE"/>
              </w:rPr>
            </w:pPr>
            <w:r>
              <w:rPr>
                <w:lang w:val="sv-SE"/>
              </w:rPr>
              <w:t>0.00000</w:t>
            </w:r>
          </w:p>
        </w:tc>
      </w:tr>
      <w:tr w:rsidR="002F6CA8" w14:paraId="588CF277" w14:textId="77777777" w:rsidTr="002F6CA8">
        <w:trPr>
          <w:trHeight w:val="287"/>
          <w:jc w:val="center"/>
        </w:trPr>
        <w:tc>
          <w:tcPr>
            <w:tcW w:w="2269" w:type="dxa"/>
            <w:tcBorders>
              <w:top w:val="nil"/>
              <w:left w:val="nil"/>
              <w:bottom w:val="nil"/>
              <w:right w:val="nil"/>
            </w:tcBorders>
            <w:hideMark/>
          </w:tcPr>
          <w:p w14:paraId="01461381" w14:textId="77777777" w:rsidR="002F6CA8" w:rsidRDefault="002F6CA8">
            <w:pPr>
              <w:rPr>
                <w:vertAlign w:val="superscript"/>
                <w:lang w:val="sv-SE"/>
              </w:rPr>
            </w:pPr>
            <w:r>
              <w:rPr>
                <w:lang w:val="sv-SE"/>
              </w:rPr>
              <w:t>Productivity X</w:t>
            </w:r>
            <w:r>
              <w:rPr>
                <w:vertAlign w:val="superscript"/>
                <w:lang w:val="sv-SE"/>
              </w:rPr>
              <w:t>2</w:t>
            </w:r>
          </w:p>
        </w:tc>
        <w:tc>
          <w:tcPr>
            <w:tcW w:w="2269" w:type="dxa"/>
            <w:tcBorders>
              <w:top w:val="nil"/>
              <w:left w:val="nil"/>
              <w:bottom w:val="nil"/>
              <w:right w:val="nil"/>
            </w:tcBorders>
            <w:hideMark/>
          </w:tcPr>
          <w:p w14:paraId="7866F195" w14:textId="77777777" w:rsidR="002F6CA8" w:rsidRDefault="002F6CA8">
            <w:pPr>
              <w:rPr>
                <w:lang w:val="sv-SE"/>
              </w:rPr>
            </w:pPr>
            <w:r>
              <w:t>44385.5</w:t>
            </w:r>
          </w:p>
        </w:tc>
        <w:tc>
          <w:tcPr>
            <w:tcW w:w="2269" w:type="dxa"/>
            <w:tcBorders>
              <w:top w:val="nil"/>
              <w:left w:val="nil"/>
              <w:bottom w:val="nil"/>
              <w:right w:val="nil"/>
            </w:tcBorders>
            <w:hideMark/>
          </w:tcPr>
          <w:p w14:paraId="204EEA67" w14:textId="77777777" w:rsidR="002F6CA8" w:rsidRDefault="002F6CA8">
            <w:pPr>
              <w:rPr>
                <w:lang w:val="sv-SE"/>
              </w:rPr>
            </w:pPr>
            <w:r>
              <w:rPr>
                <w:lang w:val="sv-SE"/>
              </w:rPr>
              <w:t>6.71218</w:t>
            </w:r>
          </w:p>
        </w:tc>
        <w:tc>
          <w:tcPr>
            <w:tcW w:w="2269" w:type="dxa"/>
            <w:tcBorders>
              <w:top w:val="nil"/>
              <w:left w:val="nil"/>
              <w:bottom w:val="nil"/>
              <w:right w:val="nil"/>
            </w:tcBorders>
            <w:hideMark/>
          </w:tcPr>
          <w:p w14:paraId="0E832772" w14:textId="77777777" w:rsidR="002F6CA8" w:rsidRDefault="002F6CA8">
            <w:pPr>
              <w:rPr>
                <w:lang w:val="sv-SE"/>
              </w:rPr>
            </w:pPr>
            <w:r>
              <w:rPr>
                <w:lang w:val="sv-SE"/>
              </w:rPr>
              <w:t>0.00000</w:t>
            </w:r>
          </w:p>
        </w:tc>
      </w:tr>
      <w:tr w:rsidR="002F6CA8" w14:paraId="245637DD" w14:textId="77777777" w:rsidTr="002F6CA8">
        <w:trPr>
          <w:trHeight w:val="287"/>
          <w:jc w:val="center"/>
        </w:trPr>
        <w:tc>
          <w:tcPr>
            <w:tcW w:w="2269" w:type="dxa"/>
            <w:tcBorders>
              <w:top w:val="nil"/>
              <w:left w:val="nil"/>
              <w:bottom w:val="nil"/>
              <w:right w:val="nil"/>
            </w:tcBorders>
            <w:hideMark/>
          </w:tcPr>
          <w:p w14:paraId="323EA5F5" w14:textId="77777777" w:rsidR="002F6CA8" w:rsidRDefault="002F6CA8">
            <w:pPr>
              <w:rPr>
                <w:i/>
                <w:iCs/>
                <w:lang w:val="sv-SE"/>
              </w:rPr>
            </w:pPr>
            <w:r>
              <w:rPr>
                <w:i/>
                <w:iCs/>
                <w:lang w:val="sv-SE"/>
              </w:rPr>
              <w:t>Lambda</w:t>
            </w:r>
          </w:p>
        </w:tc>
        <w:tc>
          <w:tcPr>
            <w:tcW w:w="2269" w:type="dxa"/>
            <w:tcBorders>
              <w:top w:val="nil"/>
              <w:left w:val="nil"/>
              <w:bottom w:val="nil"/>
              <w:right w:val="nil"/>
            </w:tcBorders>
            <w:hideMark/>
          </w:tcPr>
          <w:p w14:paraId="287182F8" w14:textId="77777777" w:rsidR="002F6CA8" w:rsidRDefault="002F6CA8">
            <w:r>
              <w:t>1.66667</w:t>
            </w:r>
          </w:p>
        </w:tc>
        <w:tc>
          <w:tcPr>
            <w:tcW w:w="2269" w:type="dxa"/>
            <w:tcBorders>
              <w:top w:val="nil"/>
              <w:left w:val="nil"/>
              <w:bottom w:val="nil"/>
              <w:right w:val="nil"/>
            </w:tcBorders>
            <w:hideMark/>
          </w:tcPr>
          <w:p w14:paraId="25BA2B34" w14:textId="77777777" w:rsidR="002F6CA8" w:rsidRDefault="002F6CA8">
            <w:pPr>
              <w:rPr>
                <w:lang w:val="sv-SE"/>
              </w:rPr>
            </w:pPr>
            <w:r>
              <w:rPr>
                <w:lang w:val="sv-SE"/>
              </w:rPr>
              <w:t>3.14447</w:t>
            </w:r>
          </w:p>
        </w:tc>
        <w:tc>
          <w:tcPr>
            <w:tcW w:w="2269" w:type="dxa"/>
            <w:tcBorders>
              <w:top w:val="nil"/>
              <w:left w:val="nil"/>
              <w:bottom w:val="nil"/>
              <w:right w:val="nil"/>
            </w:tcBorders>
            <w:hideMark/>
          </w:tcPr>
          <w:p w14:paraId="72182BD3" w14:textId="77777777" w:rsidR="002F6CA8" w:rsidRDefault="002F6CA8">
            <w:pPr>
              <w:rPr>
                <w:lang w:val="sv-SE"/>
              </w:rPr>
            </w:pPr>
            <w:r>
              <w:rPr>
                <w:lang w:val="sv-SE"/>
              </w:rPr>
              <w:t>0.00166</w:t>
            </w:r>
          </w:p>
        </w:tc>
      </w:tr>
    </w:tbl>
    <w:p w14:paraId="1AA9D6A7" w14:textId="77777777" w:rsidR="002F6CA8" w:rsidRDefault="002F6CA8" w:rsidP="002F6CA8">
      <w:pPr>
        <w:ind w:firstLine="720"/>
        <w:jc w:val="both"/>
        <w:rPr>
          <w:rFonts w:eastAsia="Cambria"/>
          <w:bCs/>
          <w:lang w:val="id-ID"/>
        </w:rPr>
      </w:pPr>
    </w:p>
    <w:p w14:paraId="009C9572" w14:textId="77777777" w:rsidR="002F6CA8" w:rsidRDefault="002F6CA8" w:rsidP="002F6CA8">
      <w:pPr>
        <w:ind w:firstLine="720"/>
        <w:jc w:val="both"/>
        <w:rPr>
          <w:rFonts w:eastAsia="Cambria"/>
          <w:bCs/>
        </w:rPr>
      </w:pPr>
      <w:r>
        <w:rPr>
          <w:rFonts w:eastAsia="Cambria"/>
          <w:bCs/>
        </w:rPr>
        <w:t>The positive coefficient of X</w:t>
      </w:r>
      <w:r>
        <w:rPr>
          <w:rFonts w:eastAsia="Cambria"/>
          <w:bCs/>
          <w:vertAlign w:val="superscript"/>
        </w:rPr>
        <w:t>1</w:t>
      </w:r>
      <w:r>
        <w:rPr>
          <w:rFonts w:eastAsia="Cambria"/>
          <w:bCs/>
        </w:rPr>
        <w:t xml:space="preserve"> (Harvested Area) of 96.6132 indicates that increasing the area of ​​land used to grow cayenne peppers in an area will also increase cayenne pepper production. Similarly, the positive coefficient of X</w:t>
      </w:r>
      <w:r>
        <w:rPr>
          <w:rFonts w:eastAsia="Cambria"/>
          <w:bCs/>
          <w:vertAlign w:val="superscript"/>
        </w:rPr>
        <w:t>2</w:t>
      </w:r>
      <w:r>
        <w:rPr>
          <w:rFonts w:eastAsia="Cambria"/>
          <w:bCs/>
        </w:rPr>
        <w:t xml:space="preserve"> (Productivity) of 44385.5 indicates that each unit increase in cayenne pepper productivity leads to a significant increase in total production. This indicates that both factors play a significant role in </w:t>
      </w:r>
      <w:r>
        <w:rPr>
          <w:rFonts w:eastAsia="Cambria"/>
          <w:bCs/>
        </w:rPr>
        <w:lastRenderedPageBreak/>
        <w:t>determining the amount of cayenne pepper production in a given area.</w:t>
      </w:r>
    </w:p>
    <w:p w14:paraId="121DE28D" w14:textId="77777777" w:rsidR="002F6CA8" w:rsidRDefault="002F6CA8" w:rsidP="002F6CA8">
      <w:pPr>
        <w:ind w:firstLine="720"/>
        <w:jc w:val="both"/>
        <w:rPr>
          <w:rFonts w:eastAsia="Cambria"/>
          <w:bCs/>
        </w:rPr>
      </w:pPr>
      <w:r>
        <w:rPr>
          <w:rFonts w:eastAsia="Cambria"/>
          <w:bCs/>
        </w:rPr>
        <w:t>The criteria used to select the best model is to compare the AIC values. A comparison between SEM and classical linear regression can be seen in Table 3.</w:t>
      </w:r>
    </w:p>
    <w:p w14:paraId="1F88EE2D" w14:textId="77777777" w:rsidR="002F6CA8" w:rsidRPr="002F6CA8" w:rsidRDefault="002F6CA8" w:rsidP="002F6CA8">
      <w:pPr>
        <w:jc w:val="center"/>
        <w:rPr>
          <w:rFonts w:eastAsia="Calibri"/>
        </w:rPr>
      </w:pPr>
      <w:r w:rsidRPr="002F6CA8">
        <w:rPr>
          <w:b/>
          <w:bCs/>
        </w:rPr>
        <w:t>Table 3.</w:t>
      </w:r>
      <w:r w:rsidRPr="002F6CA8">
        <w:t xml:space="preserve"> Comparison of the goodness-of-fit measures of the SEM and OLS models</w:t>
      </w:r>
    </w:p>
    <w:tbl>
      <w:tblPr>
        <w:tblStyle w:val="TableGrid"/>
        <w:tblW w:w="909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548"/>
        <w:gridCol w:w="4549"/>
      </w:tblGrid>
      <w:tr w:rsidR="002F6CA8" w14:paraId="180109DC" w14:textId="77777777" w:rsidTr="002F6CA8">
        <w:trPr>
          <w:trHeight w:val="268"/>
          <w:jc w:val="center"/>
        </w:trPr>
        <w:tc>
          <w:tcPr>
            <w:tcW w:w="4548" w:type="dxa"/>
            <w:tcBorders>
              <w:top w:val="single" w:sz="4" w:space="0" w:color="auto"/>
              <w:left w:val="nil"/>
              <w:bottom w:val="single" w:sz="4" w:space="0" w:color="auto"/>
              <w:right w:val="nil"/>
            </w:tcBorders>
            <w:hideMark/>
          </w:tcPr>
          <w:p w14:paraId="6326071B" w14:textId="77777777" w:rsidR="002F6CA8" w:rsidRDefault="002F6CA8">
            <w:pPr>
              <w:jc w:val="both"/>
              <w:rPr>
                <w:rFonts w:eastAsia="Cambria"/>
                <w:bCs/>
              </w:rPr>
            </w:pPr>
            <w:r>
              <w:rPr>
                <w:rFonts w:eastAsia="Cambria"/>
                <w:bCs/>
              </w:rPr>
              <w:t>Model</w:t>
            </w:r>
          </w:p>
        </w:tc>
        <w:tc>
          <w:tcPr>
            <w:tcW w:w="4549" w:type="dxa"/>
            <w:tcBorders>
              <w:top w:val="single" w:sz="4" w:space="0" w:color="auto"/>
              <w:left w:val="nil"/>
              <w:bottom w:val="single" w:sz="4" w:space="0" w:color="auto"/>
              <w:right w:val="nil"/>
            </w:tcBorders>
            <w:hideMark/>
          </w:tcPr>
          <w:p w14:paraId="44EB7555" w14:textId="77777777" w:rsidR="002F6CA8" w:rsidRDefault="002F6CA8">
            <w:pPr>
              <w:jc w:val="both"/>
              <w:rPr>
                <w:rFonts w:eastAsia="Cambria"/>
                <w:bCs/>
              </w:rPr>
            </w:pPr>
            <w:r>
              <w:rPr>
                <w:rFonts w:eastAsia="Cambria"/>
                <w:bCs/>
              </w:rPr>
              <w:t>AIC</w:t>
            </w:r>
          </w:p>
        </w:tc>
      </w:tr>
      <w:tr w:rsidR="002F6CA8" w14:paraId="733C7CAE" w14:textId="77777777" w:rsidTr="002F6CA8">
        <w:trPr>
          <w:trHeight w:val="268"/>
          <w:jc w:val="center"/>
        </w:trPr>
        <w:tc>
          <w:tcPr>
            <w:tcW w:w="4548" w:type="dxa"/>
            <w:tcBorders>
              <w:top w:val="single" w:sz="4" w:space="0" w:color="auto"/>
              <w:left w:val="nil"/>
              <w:bottom w:val="nil"/>
              <w:right w:val="nil"/>
            </w:tcBorders>
            <w:hideMark/>
          </w:tcPr>
          <w:p w14:paraId="7AE3F770" w14:textId="77777777" w:rsidR="002F6CA8" w:rsidRDefault="002F6CA8">
            <w:pPr>
              <w:jc w:val="both"/>
              <w:rPr>
                <w:rFonts w:eastAsia="Cambria"/>
                <w:bCs/>
              </w:rPr>
            </w:pPr>
            <w:r>
              <w:rPr>
                <w:rFonts w:eastAsia="Cambria"/>
                <w:bCs/>
              </w:rPr>
              <w:t>Classical linear regression (OLS)</w:t>
            </w:r>
          </w:p>
        </w:tc>
        <w:tc>
          <w:tcPr>
            <w:tcW w:w="4549" w:type="dxa"/>
            <w:tcBorders>
              <w:top w:val="single" w:sz="4" w:space="0" w:color="auto"/>
              <w:left w:val="nil"/>
              <w:bottom w:val="nil"/>
              <w:right w:val="nil"/>
            </w:tcBorders>
            <w:hideMark/>
          </w:tcPr>
          <w:p w14:paraId="16987E93" w14:textId="77777777" w:rsidR="002F6CA8" w:rsidRDefault="002F6CA8">
            <w:pPr>
              <w:jc w:val="both"/>
              <w:rPr>
                <w:rFonts w:eastAsia="Cambria"/>
                <w:bCs/>
              </w:rPr>
            </w:pPr>
            <w:r>
              <w:rPr>
                <w:rFonts w:eastAsia="Cambria"/>
                <w:bCs/>
              </w:rPr>
              <w:t>318.202</w:t>
            </w:r>
          </w:p>
        </w:tc>
      </w:tr>
      <w:tr w:rsidR="002F6CA8" w14:paraId="67D2BC74" w14:textId="77777777" w:rsidTr="002F6CA8">
        <w:trPr>
          <w:trHeight w:val="268"/>
          <w:jc w:val="center"/>
        </w:trPr>
        <w:tc>
          <w:tcPr>
            <w:tcW w:w="4548" w:type="dxa"/>
            <w:tcBorders>
              <w:top w:val="nil"/>
              <w:left w:val="nil"/>
              <w:bottom w:val="single" w:sz="4" w:space="0" w:color="auto"/>
              <w:right w:val="nil"/>
            </w:tcBorders>
            <w:hideMark/>
          </w:tcPr>
          <w:p w14:paraId="728810A6" w14:textId="77777777" w:rsidR="002F6CA8" w:rsidRDefault="002F6CA8">
            <w:pPr>
              <w:jc w:val="both"/>
              <w:rPr>
                <w:rFonts w:eastAsia="Cambria"/>
                <w:bCs/>
              </w:rPr>
            </w:pPr>
            <w:r>
              <w:rPr>
                <w:rFonts w:eastAsia="Cambria"/>
                <w:bCs/>
              </w:rPr>
              <w:t xml:space="preserve">Spatial regression (SEM) </w:t>
            </w:r>
          </w:p>
        </w:tc>
        <w:tc>
          <w:tcPr>
            <w:tcW w:w="4549" w:type="dxa"/>
            <w:tcBorders>
              <w:top w:val="nil"/>
              <w:left w:val="nil"/>
              <w:bottom w:val="single" w:sz="4" w:space="0" w:color="auto"/>
              <w:right w:val="nil"/>
            </w:tcBorders>
            <w:hideMark/>
          </w:tcPr>
          <w:p w14:paraId="68F3B0CE" w14:textId="77777777" w:rsidR="002F6CA8" w:rsidRDefault="002F6CA8">
            <w:pPr>
              <w:jc w:val="both"/>
              <w:rPr>
                <w:rFonts w:eastAsia="Cambria"/>
                <w:bCs/>
              </w:rPr>
            </w:pPr>
            <w:r>
              <w:rPr>
                <w:rFonts w:eastAsia="Cambria"/>
                <w:bCs/>
              </w:rPr>
              <w:t>316.58</w:t>
            </w:r>
          </w:p>
        </w:tc>
      </w:tr>
    </w:tbl>
    <w:p w14:paraId="1A94A461" w14:textId="77777777" w:rsidR="002F6CA8" w:rsidRDefault="002F6CA8" w:rsidP="002F6CA8">
      <w:pPr>
        <w:jc w:val="both"/>
        <w:rPr>
          <w:rFonts w:eastAsia="Cambria"/>
          <w:bCs/>
          <w:lang w:val="id-ID"/>
        </w:rPr>
      </w:pPr>
    </w:p>
    <w:p w14:paraId="5372E8D7" w14:textId="77777777" w:rsidR="002F6CA8" w:rsidRDefault="002F6CA8" w:rsidP="002F6CA8">
      <w:pPr>
        <w:ind w:firstLine="720"/>
        <w:jc w:val="both"/>
        <w:rPr>
          <w:rFonts w:eastAsia="Cambria"/>
          <w:bCs/>
        </w:rPr>
      </w:pPr>
      <w:r>
        <w:rPr>
          <w:rFonts w:eastAsia="Cambria"/>
          <w:bCs/>
        </w:rPr>
        <w:t xml:space="preserve">Based on the Model is considered better if it has a smaller </w:t>
      </w:r>
      <w:proofErr w:type="spellStart"/>
      <w:r>
        <w:rPr>
          <w:rFonts w:eastAsia="Cambria"/>
          <w:bCs/>
        </w:rPr>
        <w:t>Akaike</w:t>
      </w:r>
      <w:proofErr w:type="spellEnd"/>
      <w:r>
        <w:rPr>
          <w:rFonts w:eastAsia="Cambria"/>
          <w:bCs/>
        </w:rPr>
        <w:t xml:space="preserve"> Information Criterion (AIC) value. Based on the Model Comparison Table, the Classical Linear Regression Model has a larger AIC value (318.202) when compared to the SEM Model which has a smaller AIC value (316.58). </w:t>
      </w:r>
      <w:proofErr w:type="gramStart"/>
      <w:r>
        <w:rPr>
          <w:rFonts w:eastAsia="Cambria"/>
          <w:bCs/>
        </w:rPr>
        <w:t>based</w:t>
      </w:r>
      <w:proofErr w:type="gramEnd"/>
      <w:r>
        <w:rPr>
          <w:rFonts w:eastAsia="Cambria"/>
          <w:bCs/>
        </w:rPr>
        <w:t xml:space="preserve"> on the comparison results the SEM Model has a lower AIC value in Classical Linear Regression indicating that this SEM model is better than the OLS model. Therefore, based on this criterion, the Spatial Error Regression model is better for modeling cayenne pepper productivity in West Nusa Tenggara Province.</w:t>
      </w:r>
    </w:p>
    <w:p w14:paraId="233EAB30" w14:textId="7A5B6482" w:rsidR="00624536" w:rsidRPr="00D61B35" w:rsidRDefault="00624536" w:rsidP="00EB0744">
      <w:pPr>
        <w:ind w:left="426" w:firstLine="567"/>
        <w:jc w:val="both"/>
        <w:rPr>
          <w:lang w:val="id-ID"/>
        </w:rPr>
      </w:pPr>
    </w:p>
    <w:p w14:paraId="63E6BD05" w14:textId="77777777" w:rsidR="00F24015" w:rsidRDefault="00F24015">
      <w:pPr>
        <w:pStyle w:val="BodyText"/>
        <w:spacing w:before="41"/>
        <w:ind w:left="0"/>
        <w:jc w:val="left"/>
      </w:pPr>
    </w:p>
    <w:p w14:paraId="0029B51A" w14:textId="25EE61AD" w:rsidR="00427E46" w:rsidRPr="00F24015" w:rsidRDefault="00FD3C9E">
      <w:pPr>
        <w:pStyle w:val="Heading1"/>
        <w:numPr>
          <w:ilvl w:val="0"/>
          <w:numId w:val="1"/>
        </w:numPr>
        <w:tabs>
          <w:tab w:val="left" w:pos="4290"/>
        </w:tabs>
        <w:ind w:left="4290" w:hanging="279"/>
        <w:jc w:val="left"/>
      </w:pPr>
      <w:r>
        <w:rPr>
          <w:spacing w:val="-2"/>
        </w:rPr>
        <w:t>Conclusion</w:t>
      </w:r>
    </w:p>
    <w:p w14:paraId="4526032A" w14:textId="77777777" w:rsidR="00F24015" w:rsidRDefault="00F24015" w:rsidP="00F24015">
      <w:pPr>
        <w:pStyle w:val="Heading1"/>
        <w:tabs>
          <w:tab w:val="left" w:pos="4290"/>
        </w:tabs>
        <w:ind w:left="4290" w:firstLine="0"/>
        <w:jc w:val="right"/>
      </w:pPr>
    </w:p>
    <w:p w14:paraId="5B155AD2" w14:textId="0DCD4B41" w:rsidR="00427E46" w:rsidRDefault="00624536" w:rsidP="002F6CA8">
      <w:pPr>
        <w:ind w:firstLine="480"/>
        <w:jc w:val="both"/>
      </w:pPr>
      <w:r w:rsidRPr="00D61B35">
        <w:rPr>
          <w:lang w:val="id-ID"/>
        </w:rPr>
        <w:t xml:space="preserve">Based </w:t>
      </w:r>
      <w:r w:rsidR="002F6CA8">
        <w:rPr>
          <w:lang w:val="en-ID"/>
        </w:rPr>
        <w:t xml:space="preserve">on the analysis conducted using the spatial regression method through the Spatial Error Model (SEM) approach, a model was obtained that meets basic statistical assumptions, where the residual values ​​are normally distributed, the residual variance is consistent, and there is no </w:t>
      </w:r>
      <w:proofErr w:type="spellStart"/>
      <w:r w:rsidR="002F6CA8">
        <w:rPr>
          <w:lang w:val="en-ID"/>
        </w:rPr>
        <w:t>multicollinearity</w:t>
      </w:r>
      <w:proofErr w:type="spellEnd"/>
      <w:r w:rsidR="002F6CA8">
        <w:rPr>
          <w:lang w:val="en-ID"/>
        </w:rPr>
        <w:t>. The SEM model indicates that the harvested area and cayenne pepper productivity have a significant impact on total production at a 10% significance level, with an AIC value of 316.58, indicating that this model can explain production differences very well and effectively compared to the classical linear regression model. The analysis findings also revealed positive spatial autocorrelation between regions, indicating that production in one district or city is influenced by the conditions of the surrounding area. Therefore, the formulation of agricultural sector development policies must consider a region-based approach. In future research, it is recommended to add other variables such as rainfall, soil quality, and technology use, as well as consider the application of more complex spatial models or machine learning methods to improve the accuracy and clarity of the analysis results.</w:t>
      </w:r>
      <w:r w:rsidR="002F6CA8">
        <w:rPr>
          <w:iCs/>
        </w:rPr>
        <w:tab/>
      </w:r>
    </w:p>
    <w:p w14:paraId="5D4A02DB" w14:textId="77777777" w:rsidR="00427E46" w:rsidRDefault="00427E46">
      <w:pPr>
        <w:pStyle w:val="BodyText"/>
        <w:spacing w:line="276" w:lineRule="auto"/>
        <w:sectPr w:rsidR="00427E46" w:rsidSect="007206FB">
          <w:headerReference w:type="even" r:id="rId15"/>
          <w:headerReference w:type="default" r:id="rId16"/>
          <w:pgSz w:w="11910" w:h="16840"/>
          <w:pgMar w:top="1080" w:right="1133" w:bottom="280" w:left="1133" w:header="853" w:footer="0" w:gutter="0"/>
          <w:pgNumType w:start="7"/>
          <w:cols w:space="720"/>
        </w:sectPr>
      </w:pPr>
    </w:p>
    <w:p w14:paraId="7B5C683E" w14:textId="77777777" w:rsidR="00427E46" w:rsidRDefault="00427E46">
      <w:pPr>
        <w:pStyle w:val="BodyText"/>
        <w:spacing w:before="139"/>
        <w:ind w:left="0"/>
        <w:jc w:val="left"/>
        <w:rPr>
          <w:sz w:val="28"/>
        </w:rPr>
      </w:pPr>
    </w:p>
    <w:p w14:paraId="231806D0" w14:textId="77777777" w:rsidR="00427E46" w:rsidRDefault="00FD3C9E">
      <w:pPr>
        <w:pStyle w:val="Heading1"/>
        <w:numPr>
          <w:ilvl w:val="0"/>
          <w:numId w:val="1"/>
        </w:numPr>
        <w:tabs>
          <w:tab w:val="left" w:pos="4308"/>
        </w:tabs>
        <w:ind w:left="4308" w:hanging="280"/>
        <w:jc w:val="left"/>
      </w:pPr>
      <w:r>
        <w:rPr>
          <w:spacing w:val="-2"/>
        </w:rPr>
        <w:t>References</w:t>
      </w:r>
    </w:p>
    <w:p w14:paraId="3F902DB6" w14:textId="461FD47D" w:rsidR="004833EA" w:rsidRPr="004833EA" w:rsidRDefault="004833EA" w:rsidP="004833EA">
      <w:pPr>
        <w:adjustRightInd w:val="0"/>
        <w:spacing w:before="120"/>
        <w:ind w:left="480" w:hanging="480"/>
        <w:rPr>
          <w:noProof/>
          <w:sz w:val="24"/>
          <w:szCs w:val="24"/>
        </w:rPr>
      </w:pPr>
      <w:r>
        <w:fldChar w:fldCharType="begin" w:fldLock="1"/>
      </w:r>
      <w:r>
        <w:instrText xml:space="preserve">ADDIN Mendeley Bibliography CSL_BIBLIOGRAPHY </w:instrText>
      </w:r>
      <w:r>
        <w:fldChar w:fldCharType="separate"/>
      </w:r>
      <w:r w:rsidRPr="004833EA">
        <w:rPr>
          <w:noProof/>
          <w:sz w:val="24"/>
          <w:szCs w:val="24"/>
        </w:rPr>
        <w:t xml:space="preserve">Deviani, F., Rochdiani, D., &amp; Saefudin, B. R. (2019). Analisis Faktor-Faktor Yang Mempengaruhi Produksi Usahatani Buncis Di Gabungan Kelompok Tani Lembang Agri Kabupaten Bandung Barat. </w:t>
      </w:r>
      <w:r w:rsidRPr="004833EA">
        <w:rPr>
          <w:i/>
          <w:iCs/>
          <w:noProof/>
          <w:sz w:val="24"/>
          <w:szCs w:val="24"/>
        </w:rPr>
        <w:t>Agrisocionomics: Jurnal Sosial Ekonomi Pertanian</w:t>
      </w:r>
      <w:r w:rsidRPr="004833EA">
        <w:rPr>
          <w:noProof/>
          <w:sz w:val="24"/>
          <w:szCs w:val="24"/>
        </w:rPr>
        <w:t xml:space="preserve">, </w:t>
      </w:r>
      <w:r w:rsidRPr="004833EA">
        <w:rPr>
          <w:i/>
          <w:iCs/>
          <w:noProof/>
          <w:sz w:val="24"/>
          <w:szCs w:val="24"/>
        </w:rPr>
        <w:t>3</w:t>
      </w:r>
      <w:r w:rsidRPr="004833EA">
        <w:rPr>
          <w:noProof/>
          <w:sz w:val="24"/>
          <w:szCs w:val="24"/>
        </w:rPr>
        <w:t>(2), 165–173. https://doi.org/10.14710/agrisocionomics.v3i2.6099</w:t>
      </w:r>
    </w:p>
    <w:p w14:paraId="19368180" w14:textId="77777777" w:rsidR="004833EA" w:rsidRPr="004833EA" w:rsidRDefault="004833EA" w:rsidP="004833EA">
      <w:pPr>
        <w:adjustRightInd w:val="0"/>
        <w:spacing w:before="120"/>
        <w:ind w:left="480" w:hanging="480"/>
        <w:rPr>
          <w:noProof/>
          <w:sz w:val="24"/>
          <w:szCs w:val="24"/>
        </w:rPr>
      </w:pPr>
      <w:r w:rsidRPr="004833EA">
        <w:rPr>
          <w:noProof/>
          <w:sz w:val="24"/>
          <w:szCs w:val="24"/>
        </w:rPr>
        <w:t xml:space="preserve">Dupayana, I. P. W., &amp; Anang, Y. (2024). </w:t>
      </w:r>
      <w:r w:rsidRPr="004833EA">
        <w:rPr>
          <w:i/>
          <w:iCs/>
          <w:noProof/>
          <w:sz w:val="24"/>
          <w:szCs w:val="24"/>
        </w:rPr>
        <w:t>Pembangunan Sistem Informasi Manajemen Agenda Kegiatan Berbasis Web di BPS Provinsi Nusa Tenggara Barat (Development of a Web-Based Activity Agenda Management Information System at Statistics of Nusa Tenggara Barat Province)</w:t>
      </w:r>
      <w:r w:rsidRPr="004833EA">
        <w:rPr>
          <w:noProof/>
          <w:sz w:val="24"/>
          <w:szCs w:val="24"/>
        </w:rPr>
        <w:t>. 499–510.</w:t>
      </w:r>
    </w:p>
    <w:p w14:paraId="5B12D1EE" w14:textId="77777777" w:rsidR="004833EA" w:rsidRPr="004833EA" w:rsidRDefault="004833EA" w:rsidP="004833EA">
      <w:pPr>
        <w:adjustRightInd w:val="0"/>
        <w:spacing w:before="120"/>
        <w:ind w:left="480" w:hanging="480"/>
        <w:rPr>
          <w:noProof/>
          <w:sz w:val="24"/>
          <w:szCs w:val="24"/>
        </w:rPr>
      </w:pPr>
      <w:r w:rsidRPr="004833EA">
        <w:rPr>
          <w:noProof/>
          <w:sz w:val="24"/>
          <w:szCs w:val="24"/>
        </w:rPr>
        <w:t xml:space="preserve">Fadli, F., Nursan, M., &amp; Yusuf, M. (2024). Analisis Efisiensi Usahatani Cabai Rawit Di Kecamatan Suralaga Kabupaten Lombok Timur. </w:t>
      </w:r>
      <w:r w:rsidRPr="004833EA">
        <w:rPr>
          <w:i/>
          <w:iCs/>
          <w:noProof/>
          <w:sz w:val="24"/>
          <w:szCs w:val="24"/>
        </w:rPr>
        <w:t>Prosiding SAINTEK</w:t>
      </w:r>
      <w:r w:rsidRPr="004833EA">
        <w:rPr>
          <w:noProof/>
          <w:sz w:val="24"/>
          <w:szCs w:val="24"/>
        </w:rPr>
        <w:t xml:space="preserve">, </w:t>
      </w:r>
      <w:r w:rsidRPr="004833EA">
        <w:rPr>
          <w:i/>
          <w:iCs/>
          <w:noProof/>
          <w:sz w:val="24"/>
          <w:szCs w:val="24"/>
        </w:rPr>
        <w:t>6</w:t>
      </w:r>
      <w:r w:rsidRPr="004833EA">
        <w:rPr>
          <w:noProof/>
          <w:sz w:val="24"/>
          <w:szCs w:val="24"/>
        </w:rPr>
        <w:t>(November 2023), 110–118. https://doi.org/10.29303/saintek.v6i1.925</w:t>
      </w:r>
    </w:p>
    <w:p w14:paraId="7C0C8DC5" w14:textId="77777777" w:rsidR="004833EA" w:rsidRPr="004833EA" w:rsidRDefault="004833EA" w:rsidP="004833EA">
      <w:pPr>
        <w:adjustRightInd w:val="0"/>
        <w:spacing w:before="120"/>
        <w:ind w:left="480" w:hanging="480"/>
        <w:rPr>
          <w:noProof/>
          <w:sz w:val="24"/>
          <w:szCs w:val="24"/>
        </w:rPr>
      </w:pPr>
      <w:r w:rsidRPr="004833EA">
        <w:rPr>
          <w:noProof/>
          <w:sz w:val="24"/>
          <w:szCs w:val="24"/>
        </w:rPr>
        <w:t xml:space="preserve">Febrilia, B. R. A., Sari, N. M. W., Danasari, I. F., &amp; Vijaya, N. P. S. A. (2023). Analisis Faktor-Faktor yang Mempengaruhi Produksi Cabai Rawit di Kecamatan Kediri Kabupaten Lombok Barat. </w:t>
      </w:r>
      <w:r w:rsidRPr="004833EA">
        <w:rPr>
          <w:i/>
          <w:iCs/>
          <w:noProof/>
          <w:sz w:val="24"/>
          <w:szCs w:val="24"/>
        </w:rPr>
        <w:t>Agrifo : Jurnal Agribisnis Universitas Malikussaleh</w:t>
      </w:r>
      <w:r w:rsidRPr="004833EA">
        <w:rPr>
          <w:noProof/>
          <w:sz w:val="24"/>
          <w:szCs w:val="24"/>
        </w:rPr>
        <w:t xml:space="preserve">, </w:t>
      </w:r>
      <w:r w:rsidRPr="004833EA">
        <w:rPr>
          <w:i/>
          <w:iCs/>
          <w:noProof/>
          <w:sz w:val="24"/>
          <w:szCs w:val="24"/>
        </w:rPr>
        <w:t>8</w:t>
      </w:r>
      <w:r w:rsidRPr="004833EA">
        <w:rPr>
          <w:noProof/>
          <w:sz w:val="24"/>
          <w:szCs w:val="24"/>
        </w:rPr>
        <w:t>(2), 10. https://doi.org/10.29103/ag.v8i2.12560</w:t>
      </w:r>
    </w:p>
    <w:p w14:paraId="08A7B781" w14:textId="77777777" w:rsidR="004833EA" w:rsidRPr="004833EA" w:rsidRDefault="004833EA" w:rsidP="004833EA">
      <w:pPr>
        <w:adjustRightInd w:val="0"/>
        <w:spacing w:before="120"/>
        <w:ind w:left="480" w:hanging="480"/>
        <w:rPr>
          <w:noProof/>
          <w:sz w:val="24"/>
          <w:szCs w:val="24"/>
        </w:rPr>
      </w:pPr>
      <w:r w:rsidRPr="004833EA">
        <w:rPr>
          <w:noProof/>
          <w:sz w:val="24"/>
          <w:szCs w:val="24"/>
        </w:rPr>
        <w:t xml:space="preserve">Manggala, R. B., &amp; Boedi, A. (2018). Faktor-Faktor Yang Mempengaruhi Produksi Padi Di Desa Sumengko Kecamatan Sukomoro Kabupaten Nganjuk. </w:t>
      </w:r>
      <w:r w:rsidRPr="004833EA">
        <w:rPr>
          <w:i/>
          <w:iCs/>
          <w:noProof/>
          <w:sz w:val="24"/>
          <w:szCs w:val="24"/>
        </w:rPr>
        <w:t>Jurnal Ilmu Ekonomi</w:t>
      </w:r>
      <w:r w:rsidRPr="004833EA">
        <w:rPr>
          <w:noProof/>
          <w:sz w:val="24"/>
          <w:szCs w:val="24"/>
        </w:rPr>
        <w:t xml:space="preserve">, </w:t>
      </w:r>
      <w:r w:rsidRPr="004833EA">
        <w:rPr>
          <w:i/>
          <w:iCs/>
          <w:noProof/>
          <w:sz w:val="24"/>
          <w:szCs w:val="24"/>
        </w:rPr>
        <w:t>2</w:t>
      </w:r>
      <w:r w:rsidRPr="004833EA">
        <w:rPr>
          <w:noProof/>
          <w:sz w:val="24"/>
          <w:szCs w:val="24"/>
        </w:rPr>
        <w:t>, 441–452.</w:t>
      </w:r>
    </w:p>
    <w:p w14:paraId="253789EF" w14:textId="77777777" w:rsidR="004833EA" w:rsidRPr="004833EA" w:rsidRDefault="004833EA" w:rsidP="004833EA">
      <w:pPr>
        <w:adjustRightInd w:val="0"/>
        <w:spacing w:before="120"/>
        <w:ind w:left="480" w:hanging="480"/>
        <w:rPr>
          <w:noProof/>
          <w:sz w:val="24"/>
          <w:szCs w:val="24"/>
        </w:rPr>
      </w:pPr>
      <w:r w:rsidRPr="004833EA">
        <w:rPr>
          <w:noProof/>
          <w:sz w:val="24"/>
          <w:szCs w:val="24"/>
        </w:rPr>
        <w:t xml:space="preserve">Mantja, K., Haring, F., Mahendra, W. Y., Syam’un, E., Asrul, L., Sahur, A., &amp; Ridwan, I. (2020). Growth and Production of Cayenne Pepper (Capsicum Frutescens L.) on Various Concentrations of Bio-Fertilizer and NPK Fertilizer. </w:t>
      </w:r>
      <w:r w:rsidRPr="004833EA">
        <w:rPr>
          <w:i/>
          <w:iCs/>
          <w:noProof/>
          <w:sz w:val="24"/>
          <w:szCs w:val="24"/>
        </w:rPr>
        <w:t>IOP Conference Series: Earth and Environmental Science</w:t>
      </w:r>
      <w:r w:rsidRPr="004833EA">
        <w:rPr>
          <w:noProof/>
          <w:sz w:val="24"/>
          <w:szCs w:val="24"/>
        </w:rPr>
        <w:t xml:space="preserve">, </w:t>
      </w:r>
      <w:r w:rsidRPr="004833EA">
        <w:rPr>
          <w:i/>
          <w:iCs/>
          <w:noProof/>
          <w:sz w:val="24"/>
          <w:szCs w:val="24"/>
        </w:rPr>
        <w:t>575</w:t>
      </w:r>
      <w:r w:rsidRPr="004833EA">
        <w:rPr>
          <w:noProof/>
          <w:sz w:val="24"/>
          <w:szCs w:val="24"/>
        </w:rPr>
        <w:t>(1), 012109. https://doi.org/10.1088/1755-1315/575/1/012109</w:t>
      </w:r>
    </w:p>
    <w:p w14:paraId="5EB366E5" w14:textId="77777777" w:rsidR="004833EA" w:rsidRPr="004833EA" w:rsidRDefault="004833EA" w:rsidP="004833EA">
      <w:pPr>
        <w:adjustRightInd w:val="0"/>
        <w:spacing w:before="120"/>
        <w:ind w:left="480" w:hanging="480"/>
        <w:rPr>
          <w:noProof/>
          <w:sz w:val="24"/>
          <w:szCs w:val="24"/>
        </w:rPr>
      </w:pPr>
      <w:r w:rsidRPr="004833EA">
        <w:rPr>
          <w:noProof/>
          <w:sz w:val="24"/>
          <w:szCs w:val="24"/>
        </w:rPr>
        <w:t xml:space="preserve">Mar’ah, Z., Nabila, A., &amp; Ruslan. (2025). Penerapan Spatial Error Model (SEM) Dalam Menganalisis Faktor-Faktor Yang Mempengaruhi Stunting Balita Di Indonesia Application Of Spatial Error Model (SEM) In Analyzing Factors Affecting Stunting In Indonesia. </w:t>
      </w:r>
      <w:r w:rsidRPr="004833EA">
        <w:rPr>
          <w:i/>
          <w:iCs/>
          <w:noProof/>
          <w:sz w:val="24"/>
          <w:szCs w:val="24"/>
        </w:rPr>
        <w:t>Jurnal EKSPONENSIAL</w:t>
      </w:r>
      <w:r w:rsidRPr="004833EA">
        <w:rPr>
          <w:noProof/>
          <w:sz w:val="24"/>
          <w:szCs w:val="24"/>
        </w:rPr>
        <w:t xml:space="preserve">, </w:t>
      </w:r>
      <w:r w:rsidRPr="004833EA">
        <w:rPr>
          <w:i/>
          <w:iCs/>
          <w:noProof/>
          <w:sz w:val="24"/>
          <w:szCs w:val="24"/>
        </w:rPr>
        <w:t>16</w:t>
      </w:r>
      <w:r w:rsidRPr="004833EA">
        <w:rPr>
          <w:noProof/>
          <w:sz w:val="24"/>
          <w:szCs w:val="24"/>
        </w:rPr>
        <w:t>(1), 41–45. https://doi.org/10.30872/eksponensial.v16i1.1465</w:t>
      </w:r>
    </w:p>
    <w:p w14:paraId="237F4D90" w14:textId="77777777" w:rsidR="004833EA" w:rsidRPr="004833EA" w:rsidRDefault="004833EA" w:rsidP="004833EA">
      <w:pPr>
        <w:adjustRightInd w:val="0"/>
        <w:spacing w:before="120"/>
        <w:ind w:left="480" w:hanging="480"/>
        <w:rPr>
          <w:noProof/>
          <w:sz w:val="24"/>
          <w:szCs w:val="24"/>
        </w:rPr>
      </w:pPr>
      <w:r w:rsidRPr="004833EA">
        <w:rPr>
          <w:noProof/>
          <w:sz w:val="24"/>
          <w:szCs w:val="24"/>
        </w:rPr>
        <w:t xml:space="preserve">Murakami, J., &amp; Kato, H. (2020). The intra-metropolitan distribution of airport accessibility, employment density, and labor productivity: Spatial strategy for economic development in Tokyo. </w:t>
      </w:r>
      <w:r w:rsidRPr="004833EA">
        <w:rPr>
          <w:i/>
          <w:iCs/>
          <w:noProof/>
          <w:sz w:val="24"/>
          <w:szCs w:val="24"/>
        </w:rPr>
        <w:t>Applied Geography</w:t>
      </w:r>
      <w:r w:rsidRPr="004833EA">
        <w:rPr>
          <w:noProof/>
          <w:sz w:val="24"/>
          <w:szCs w:val="24"/>
        </w:rPr>
        <w:t xml:space="preserve">, </w:t>
      </w:r>
      <w:r w:rsidRPr="004833EA">
        <w:rPr>
          <w:i/>
          <w:iCs/>
          <w:noProof/>
          <w:sz w:val="24"/>
          <w:szCs w:val="24"/>
        </w:rPr>
        <w:t>125</w:t>
      </w:r>
      <w:r w:rsidRPr="004833EA">
        <w:rPr>
          <w:noProof/>
          <w:sz w:val="24"/>
          <w:szCs w:val="24"/>
        </w:rPr>
        <w:t>(July), 102309. https://doi.org/10.1016/j.apgeog.2020.102309</w:t>
      </w:r>
    </w:p>
    <w:p w14:paraId="65CF5624" w14:textId="77777777" w:rsidR="004833EA" w:rsidRPr="004833EA" w:rsidRDefault="004833EA" w:rsidP="004833EA">
      <w:pPr>
        <w:adjustRightInd w:val="0"/>
        <w:spacing w:before="120"/>
        <w:ind w:left="480" w:hanging="480"/>
        <w:rPr>
          <w:noProof/>
          <w:sz w:val="24"/>
          <w:szCs w:val="24"/>
        </w:rPr>
      </w:pPr>
      <w:r w:rsidRPr="004833EA">
        <w:rPr>
          <w:noProof/>
          <w:sz w:val="24"/>
          <w:szCs w:val="24"/>
        </w:rPr>
        <w:t xml:space="preserve">Nisa, A., &amp; Ambarwati, E. (2022). Keragaman Morfologi Bunga dan Buah Dua Puluh Aksesi Cabai (Capsicum sp.). </w:t>
      </w:r>
      <w:r w:rsidRPr="004833EA">
        <w:rPr>
          <w:i/>
          <w:iCs/>
          <w:noProof/>
          <w:sz w:val="24"/>
          <w:szCs w:val="24"/>
        </w:rPr>
        <w:t>Vegetalika</w:t>
      </w:r>
      <w:r w:rsidRPr="004833EA">
        <w:rPr>
          <w:noProof/>
          <w:sz w:val="24"/>
          <w:szCs w:val="24"/>
        </w:rPr>
        <w:t xml:space="preserve">, </w:t>
      </w:r>
      <w:r w:rsidRPr="004833EA">
        <w:rPr>
          <w:i/>
          <w:iCs/>
          <w:noProof/>
          <w:sz w:val="24"/>
          <w:szCs w:val="24"/>
        </w:rPr>
        <w:t>11</w:t>
      </w:r>
      <w:r w:rsidRPr="004833EA">
        <w:rPr>
          <w:noProof/>
          <w:sz w:val="24"/>
          <w:szCs w:val="24"/>
        </w:rPr>
        <w:t>(4), 280. https://doi.org/10.22146/veg.63923</w:t>
      </w:r>
    </w:p>
    <w:p w14:paraId="5E289232" w14:textId="77777777" w:rsidR="004833EA" w:rsidRPr="004833EA" w:rsidRDefault="004833EA" w:rsidP="004833EA">
      <w:pPr>
        <w:adjustRightInd w:val="0"/>
        <w:spacing w:before="120"/>
        <w:ind w:left="480" w:hanging="480"/>
        <w:rPr>
          <w:noProof/>
          <w:sz w:val="24"/>
          <w:szCs w:val="24"/>
        </w:rPr>
      </w:pPr>
      <w:r w:rsidRPr="004833EA">
        <w:rPr>
          <w:noProof/>
          <w:sz w:val="24"/>
          <w:szCs w:val="24"/>
        </w:rPr>
        <w:t xml:space="preserve">Nur Wahyu Riska Febriana, &amp; Hailuddin. (2024). Analisis Pengaruh Kesetaraan Gender di Bidang Kesehatan, Pendidikan, danEkonomi terhadap Pertumbuhan Ekonomi Nusa Tenggara Barat. </w:t>
      </w:r>
      <w:r w:rsidRPr="004833EA">
        <w:rPr>
          <w:i/>
          <w:iCs/>
          <w:noProof/>
          <w:sz w:val="24"/>
          <w:szCs w:val="24"/>
        </w:rPr>
        <w:t>Nusa Tenggara Barat</w:t>
      </w:r>
      <w:r w:rsidRPr="004833EA">
        <w:rPr>
          <w:noProof/>
          <w:sz w:val="24"/>
          <w:szCs w:val="24"/>
        </w:rPr>
        <w:t xml:space="preserve">, </w:t>
      </w:r>
      <w:r w:rsidRPr="004833EA">
        <w:rPr>
          <w:i/>
          <w:iCs/>
          <w:noProof/>
          <w:sz w:val="24"/>
          <w:szCs w:val="24"/>
        </w:rPr>
        <w:t>5</w:t>
      </w:r>
      <w:r w:rsidRPr="004833EA">
        <w:rPr>
          <w:noProof/>
          <w:sz w:val="24"/>
          <w:szCs w:val="24"/>
        </w:rPr>
        <w:t>(5), 1034–1044. http://doi.org/10.36418/syntax-imperatif.v5i5.526</w:t>
      </w:r>
    </w:p>
    <w:p w14:paraId="557D7050" w14:textId="77777777" w:rsidR="004833EA" w:rsidRPr="004833EA" w:rsidRDefault="004833EA" w:rsidP="004833EA">
      <w:pPr>
        <w:adjustRightInd w:val="0"/>
        <w:spacing w:before="120"/>
        <w:ind w:left="480" w:hanging="480"/>
        <w:rPr>
          <w:noProof/>
          <w:sz w:val="24"/>
          <w:szCs w:val="24"/>
        </w:rPr>
      </w:pPr>
      <w:r w:rsidRPr="004833EA">
        <w:rPr>
          <w:noProof/>
          <w:sz w:val="24"/>
          <w:szCs w:val="24"/>
        </w:rPr>
        <w:t xml:space="preserve">Nurjanah, N., Rinaldi, A., &amp; Putri, R. (2023). Spatial Error Model Pada Tingkat Kemiskinan Kabupaten/Kota Di Provinsi Lampung. </w:t>
      </w:r>
      <w:r w:rsidRPr="004833EA">
        <w:rPr>
          <w:i/>
          <w:iCs/>
          <w:noProof/>
          <w:sz w:val="24"/>
          <w:szCs w:val="24"/>
        </w:rPr>
        <w:t>VARIANCE: Journal of Statistics and Its Applications</w:t>
      </w:r>
      <w:r w:rsidRPr="004833EA">
        <w:rPr>
          <w:noProof/>
          <w:sz w:val="24"/>
          <w:szCs w:val="24"/>
        </w:rPr>
        <w:t xml:space="preserve">, </w:t>
      </w:r>
      <w:r w:rsidRPr="004833EA">
        <w:rPr>
          <w:i/>
          <w:iCs/>
          <w:noProof/>
          <w:sz w:val="24"/>
          <w:szCs w:val="24"/>
        </w:rPr>
        <w:t>5</w:t>
      </w:r>
      <w:r w:rsidRPr="004833EA">
        <w:rPr>
          <w:noProof/>
          <w:sz w:val="24"/>
          <w:szCs w:val="24"/>
        </w:rPr>
        <w:t>(1), 47–54. https://doi.org/10.30598/variancevol5iss1page47-54</w:t>
      </w:r>
    </w:p>
    <w:p w14:paraId="484A9955" w14:textId="77777777" w:rsidR="004833EA" w:rsidRPr="004833EA" w:rsidRDefault="004833EA" w:rsidP="004833EA">
      <w:pPr>
        <w:adjustRightInd w:val="0"/>
        <w:spacing w:before="120"/>
        <w:ind w:left="480" w:hanging="480"/>
        <w:rPr>
          <w:noProof/>
          <w:sz w:val="24"/>
          <w:szCs w:val="24"/>
        </w:rPr>
      </w:pPr>
      <w:r w:rsidRPr="004833EA">
        <w:rPr>
          <w:noProof/>
          <w:sz w:val="24"/>
          <w:szCs w:val="24"/>
        </w:rPr>
        <w:t xml:space="preserve">Postiglione, P., Cartone, A., &amp; Panzera, D. (2020). Economic convergence in EU NUTS 3 regions: A spatial econometric perspective. </w:t>
      </w:r>
      <w:r w:rsidRPr="004833EA">
        <w:rPr>
          <w:i/>
          <w:iCs/>
          <w:noProof/>
          <w:sz w:val="24"/>
          <w:szCs w:val="24"/>
        </w:rPr>
        <w:t>Sustainability (Switzerland)</w:t>
      </w:r>
      <w:r w:rsidRPr="004833EA">
        <w:rPr>
          <w:noProof/>
          <w:sz w:val="24"/>
          <w:szCs w:val="24"/>
        </w:rPr>
        <w:t xml:space="preserve">, </w:t>
      </w:r>
      <w:r w:rsidRPr="004833EA">
        <w:rPr>
          <w:i/>
          <w:iCs/>
          <w:noProof/>
          <w:sz w:val="24"/>
          <w:szCs w:val="24"/>
        </w:rPr>
        <w:t>12</w:t>
      </w:r>
      <w:r w:rsidRPr="004833EA">
        <w:rPr>
          <w:noProof/>
          <w:sz w:val="24"/>
          <w:szCs w:val="24"/>
        </w:rPr>
        <w:t>(17). https://doi.org/10.3390/SU12176717</w:t>
      </w:r>
    </w:p>
    <w:p w14:paraId="70E93DC6" w14:textId="77777777" w:rsidR="004833EA" w:rsidRPr="004833EA" w:rsidRDefault="004833EA" w:rsidP="004833EA">
      <w:pPr>
        <w:adjustRightInd w:val="0"/>
        <w:spacing w:before="120"/>
        <w:ind w:left="480" w:hanging="480"/>
        <w:rPr>
          <w:noProof/>
          <w:sz w:val="24"/>
          <w:szCs w:val="24"/>
        </w:rPr>
      </w:pPr>
      <w:r w:rsidRPr="004833EA">
        <w:rPr>
          <w:noProof/>
          <w:sz w:val="24"/>
          <w:szCs w:val="24"/>
        </w:rPr>
        <w:t xml:space="preserve">Preciosa, Y. N., Sariyoga, S., &amp; Sari, R. M. (2019). Dampak Kebijakan Penetapan Harga Acuan Terhadap Volatilitas Harga Cabai Besar Di Indonesia. </w:t>
      </w:r>
      <w:r w:rsidRPr="004833EA">
        <w:rPr>
          <w:i/>
          <w:iCs/>
          <w:noProof/>
          <w:sz w:val="24"/>
          <w:szCs w:val="24"/>
        </w:rPr>
        <w:t>Jurnal Agribisnis Terpadu</w:t>
      </w:r>
      <w:r w:rsidRPr="004833EA">
        <w:rPr>
          <w:noProof/>
          <w:sz w:val="24"/>
          <w:szCs w:val="24"/>
        </w:rPr>
        <w:t xml:space="preserve">, </w:t>
      </w:r>
      <w:r w:rsidRPr="004833EA">
        <w:rPr>
          <w:i/>
          <w:iCs/>
          <w:noProof/>
          <w:sz w:val="24"/>
          <w:szCs w:val="24"/>
        </w:rPr>
        <w:t>12</w:t>
      </w:r>
      <w:r w:rsidRPr="004833EA">
        <w:rPr>
          <w:noProof/>
          <w:sz w:val="24"/>
          <w:szCs w:val="24"/>
        </w:rPr>
        <w:t>(1), 59. https://doi.org/10.33512/jat.v12i1.5535</w:t>
      </w:r>
    </w:p>
    <w:p w14:paraId="3EF3C459" w14:textId="77777777" w:rsidR="004833EA" w:rsidRPr="004833EA" w:rsidRDefault="004833EA" w:rsidP="004833EA">
      <w:pPr>
        <w:adjustRightInd w:val="0"/>
        <w:spacing w:before="120"/>
        <w:ind w:left="480" w:hanging="480"/>
        <w:rPr>
          <w:noProof/>
          <w:sz w:val="24"/>
          <w:szCs w:val="24"/>
        </w:rPr>
      </w:pPr>
      <w:r w:rsidRPr="004833EA">
        <w:rPr>
          <w:noProof/>
          <w:sz w:val="24"/>
          <w:szCs w:val="24"/>
        </w:rPr>
        <w:t xml:space="preserve">Rizki, L. Y., Silvana, N., Huda, T. N., Utami, K. J., &amp; Saksono, H. (2024). Transformasi Bisnis Komoditas Cabai di NTB: Analisis Disparitas Pertumbuhan Cabai Merah dan Cabai Rawit 2013–2022. </w:t>
      </w:r>
      <w:r w:rsidRPr="004833EA">
        <w:rPr>
          <w:i/>
          <w:iCs/>
          <w:noProof/>
          <w:sz w:val="24"/>
          <w:szCs w:val="24"/>
        </w:rPr>
        <w:t>Aletheia: Jurnal Sosial &amp; Humaniora, Inovasi, Ekonomi, Dan Edukasi</w:t>
      </w:r>
      <w:r w:rsidRPr="004833EA">
        <w:rPr>
          <w:noProof/>
          <w:sz w:val="24"/>
          <w:szCs w:val="24"/>
        </w:rPr>
        <w:t xml:space="preserve">, </w:t>
      </w:r>
      <w:r w:rsidRPr="004833EA">
        <w:rPr>
          <w:i/>
          <w:iCs/>
          <w:noProof/>
          <w:sz w:val="24"/>
          <w:szCs w:val="24"/>
        </w:rPr>
        <w:t>1</w:t>
      </w:r>
      <w:r w:rsidRPr="004833EA">
        <w:rPr>
          <w:noProof/>
          <w:sz w:val="24"/>
          <w:szCs w:val="24"/>
        </w:rPr>
        <w:t>(2), 105–116. https://doi.org/10.63892/aletheia.1.2024.105-116</w:t>
      </w:r>
    </w:p>
    <w:p w14:paraId="28C06812" w14:textId="77777777" w:rsidR="004833EA" w:rsidRPr="004833EA" w:rsidRDefault="004833EA" w:rsidP="004833EA">
      <w:pPr>
        <w:adjustRightInd w:val="0"/>
        <w:spacing w:before="120"/>
        <w:ind w:left="480" w:hanging="480"/>
        <w:rPr>
          <w:noProof/>
          <w:sz w:val="24"/>
          <w:szCs w:val="24"/>
        </w:rPr>
      </w:pPr>
      <w:r w:rsidRPr="004833EA">
        <w:rPr>
          <w:noProof/>
          <w:sz w:val="24"/>
          <w:szCs w:val="24"/>
        </w:rPr>
        <w:lastRenderedPageBreak/>
        <w:t xml:space="preserve">Safitri, I. Y., Tiro, M. A., &amp; Ruliana. (2022). Spatial Regression Analysis to See Factors Affecting Food Security at District Level in South Sulawesi Province. </w:t>
      </w:r>
      <w:r w:rsidRPr="004833EA">
        <w:rPr>
          <w:i/>
          <w:iCs/>
          <w:noProof/>
          <w:sz w:val="24"/>
          <w:szCs w:val="24"/>
        </w:rPr>
        <w:t>ARRUS Journal of Mathematics and Applied Science</w:t>
      </w:r>
      <w:r w:rsidRPr="004833EA">
        <w:rPr>
          <w:noProof/>
          <w:sz w:val="24"/>
          <w:szCs w:val="24"/>
        </w:rPr>
        <w:t xml:space="preserve">, </w:t>
      </w:r>
      <w:r w:rsidRPr="004833EA">
        <w:rPr>
          <w:i/>
          <w:iCs/>
          <w:noProof/>
          <w:sz w:val="24"/>
          <w:szCs w:val="24"/>
        </w:rPr>
        <w:t>2</w:t>
      </w:r>
      <w:r w:rsidRPr="004833EA">
        <w:rPr>
          <w:noProof/>
          <w:sz w:val="24"/>
          <w:szCs w:val="24"/>
        </w:rPr>
        <w:t>(2), 60–72. https://doi.org/10.35877/mathscience740</w:t>
      </w:r>
    </w:p>
    <w:p w14:paraId="786536EE" w14:textId="77777777" w:rsidR="004833EA" w:rsidRPr="004833EA" w:rsidRDefault="004833EA" w:rsidP="004833EA">
      <w:pPr>
        <w:adjustRightInd w:val="0"/>
        <w:spacing w:before="120"/>
        <w:ind w:left="480" w:hanging="480"/>
        <w:rPr>
          <w:noProof/>
          <w:sz w:val="24"/>
          <w:szCs w:val="24"/>
        </w:rPr>
      </w:pPr>
      <w:r w:rsidRPr="004833EA">
        <w:rPr>
          <w:noProof/>
          <w:sz w:val="24"/>
          <w:szCs w:val="24"/>
        </w:rPr>
        <w:t xml:space="preserve">Septiadi, D., &amp; Joka, U. (2019). Analisis Respon dan Faktor-Faktor yang Mempengaruhi Permintaan Beras Indonesia. </w:t>
      </w:r>
      <w:r w:rsidRPr="004833EA">
        <w:rPr>
          <w:i/>
          <w:iCs/>
          <w:noProof/>
          <w:sz w:val="24"/>
          <w:szCs w:val="24"/>
        </w:rPr>
        <w:t>AGRIMOR</w:t>
      </w:r>
      <w:r w:rsidRPr="004833EA">
        <w:rPr>
          <w:noProof/>
          <w:sz w:val="24"/>
          <w:szCs w:val="24"/>
        </w:rPr>
        <w:t xml:space="preserve">, </w:t>
      </w:r>
      <w:r w:rsidRPr="004833EA">
        <w:rPr>
          <w:i/>
          <w:iCs/>
          <w:noProof/>
          <w:sz w:val="24"/>
          <w:szCs w:val="24"/>
        </w:rPr>
        <w:t>4</w:t>
      </w:r>
      <w:r w:rsidRPr="004833EA">
        <w:rPr>
          <w:noProof/>
          <w:sz w:val="24"/>
          <w:szCs w:val="24"/>
        </w:rPr>
        <w:t>(3), 42–44. https://doi.org/10.32938/ag.v4i3.843</w:t>
      </w:r>
    </w:p>
    <w:p w14:paraId="5DF931BC" w14:textId="77777777" w:rsidR="004833EA" w:rsidRPr="004833EA" w:rsidRDefault="004833EA" w:rsidP="004833EA">
      <w:pPr>
        <w:adjustRightInd w:val="0"/>
        <w:spacing w:before="120"/>
        <w:ind w:left="480" w:hanging="480"/>
        <w:rPr>
          <w:noProof/>
          <w:sz w:val="24"/>
          <w:szCs w:val="24"/>
        </w:rPr>
      </w:pPr>
      <w:r w:rsidRPr="004833EA">
        <w:rPr>
          <w:noProof/>
          <w:sz w:val="24"/>
          <w:szCs w:val="24"/>
        </w:rPr>
        <w:t xml:space="preserve">Setyo, R., Ahmadi, N. U. R., Studi, P., Industri, T., Teknik, F., &amp; Surakarta, U. M. (2003). </w:t>
      </w:r>
      <w:r w:rsidRPr="004833EA">
        <w:rPr>
          <w:i/>
          <w:iCs/>
          <w:noProof/>
          <w:sz w:val="24"/>
          <w:szCs w:val="24"/>
        </w:rPr>
        <w:t>Respon Pemberian Pupuk MKP dan Jarak Tanam Terhadap Pertumbuhan dan Produksi Cabai Rawit (Capsicum frustescens L.).</w:t>
      </w:r>
      <w:r w:rsidRPr="004833EA">
        <w:rPr>
          <w:noProof/>
          <w:sz w:val="24"/>
          <w:szCs w:val="24"/>
        </w:rPr>
        <w:t xml:space="preserve"> 147–173.</w:t>
      </w:r>
    </w:p>
    <w:p w14:paraId="3BF5DB14" w14:textId="77777777" w:rsidR="004833EA" w:rsidRPr="004833EA" w:rsidRDefault="004833EA" w:rsidP="004833EA">
      <w:pPr>
        <w:adjustRightInd w:val="0"/>
        <w:spacing w:before="120"/>
        <w:ind w:left="480" w:hanging="480"/>
        <w:rPr>
          <w:noProof/>
          <w:sz w:val="24"/>
          <w:szCs w:val="24"/>
        </w:rPr>
      </w:pPr>
      <w:r w:rsidRPr="004833EA">
        <w:rPr>
          <w:noProof/>
          <w:sz w:val="24"/>
          <w:szCs w:val="24"/>
        </w:rPr>
        <w:t xml:space="preserve">Siswanto, Y., Lubis, Z., &amp; Akoeb, E. N. (2020). Analisis Faktor-Faktor yang Mempengaruhi Produksi Kelapa Sawit Rakyat di Desa Tebing Linggahara Kecamatan Bilah Barat Kabupaten Labuhanbatu. </w:t>
      </w:r>
      <w:r w:rsidRPr="004833EA">
        <w:rPr>
          <w:i/>
          <w:iCs/>
          <w:noProof/>
          <w:sz w:val="24"/>
          <w:szCs w:val="24"/>
        </w:rPr>
        <w:t>AGRISAINS: Jurnal Ilmiah Magister Agribisnis</w:t>
      </w:r>
      <w:r w:rsidRPr="004833EA">
        <w:rPr>
          <w:noProof/>
          <w:sz w:val="24"/>
          <w:szCs w:val="24"/>
        </w:rPr>
        <w:t xml:space="preserve">, </w:t>
      </w:r>
      <w:r w:rsidRPr="004833EA">
        <w:rPr>
          <w:i/>
          <w:iCs/>
          <w:noProof/>
          <w:sz w:val="24"/>
          <w:szCs w:val="24"/>
        </w:rPr>
        <w:t>2</w:t>
      </w:r>
      <w:r w:rsidRPr="004833EA">
        <w:rPr>
          <w:noProof/>
          <w:sz w:val="24"/>
          <w:szCs w:val="24"/>
        </w:rPr>
        <w:t>(1), 60–70. https://doi.org/10.31289/agrisains.v2i1.255</w:t>
      </w:r>
    </w:p>
    <w:p w14:paraId="61E269AD" w14:textId="77777777" w:rsidR="004833EA" w:rsidRPr="004833EA" w:rsidRDefault="004833EA" w:rsidP="004833EA">
      <w:pPr>
        <w:adjustRightInd w:val="0"/>
        <w:spacing w:before="120"/>
        <w:ind w:left="480" w:hanging="480"/>
        <w:rPr>
          <w:noProof/>
          <w:sz w:val="24"/>
        </w:rPr>
      </w:pPr>
      <w:r w:rsidRPr="004833EA">
        <w:rPr>
          <w:noProof/>
          <w:sz w:val="24"/>
          <w:szCs w:val="24"/>
        </w:rPr>
        <w:t xml:space="preserve">Yusuf, M., &amp; Septiadi, D. (2024). Efisiensi Penggunaan Faktor Produksi Pada Usahatani Cabai Rawit Di Kecamatan Sakra Kabupaten Lombok Timur. </w:t>
      </w:r>
      <w:r w:rsidRPr="004833EA">
        <w:rPr>
          <w:i/>
          <w:iCs/>
          <w:noProof/>
          <w:sz w:val="24"/>
          <w:szCs w:val="24"/>
        </w:rPr>
        <w:t>AGRITA (AGri)</w:t>
      </w:r>
      <w:r w:rsidRPr="004833EA">
        <w:rPr>
          <w:noProof/>
          <w:sz w:val="24"/>
          <w:szCs w:val="24"/>
        </w:rPr>
        <w:t xml:space="preserve">, </w:t>
      </w:r>
      <w:r w:rsidRPr="004833EA">
        <w:rPr>
          <w:i/>
          <w:iCs/>
          <w:noProof/>
          <w:sz w:val="24"/>
          <w:szCs w:val="24"/>
        </w:rPr>
        <w:t>6</w:t>
      </w:r>
      <w:r w:rsidRPr="004833EA">
        <w:rPr>
          <w:noProof/>
          <w:sz w:val="24"/>
          <w:szCs w:val="24"/>
        </w:rPr>
        <w:t>(1), 63. https://doi.org/10.35194/agri.v6i1.4225</w:t>
      </w:r>
    </w:p>
    <w:p w14:paraId="3BC6F041" w14:textId="7871F062" w:rsidR="00F24015" w:rsidRDefault="004833EA">
      <w:pPr>
        <w:pStyle w:val="BodyText"/>
        <w:tabs>
          <w:tab w:val="left" w:pos="2404"/>
          <w:tab w:val="left" w:pos="4099"/>
          <w:tab w:val="left" w:pos="5318"/>
          <w:tab w:val="left" w:pos="6721"/>
        </w:tabs>
        <w:spacing w:before="120"/>
        <w:ind w:left="873" w:right="304" w:hanging="567"/>
        <w:jc w:val="left"/>
      </w:pPr>
      <w:r>
        <w:fldChar w:fldCharType="end"/>
      </w:r>
    </w:p>
    <w:sectPr w:rsidR="00F24015">
      <w:pgSz w:w="11910" w:h="16840"/>
      <w:pgMar w:top="1080" w:right="1133" w:bottom="280" w:left="1133" w:header="85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3F616" w14:textId="77777777" w:rsidR="00552011" w:rsidRDefault="00552011">
      <w:r>
        <w:separator/>
      </w:r>
    </w:p>
  </w:endnote>
  <w:endnote w:type="continuationSeparator" w:id="0">
    <w:p w14:paraId="1897AE1F" w14:textId="77777777" w:rsidR="00552011" w:rsidRDefault="0055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8A715" w14:textId="77777777" w:rsidR="00552011" w:rsidRDefault="00552011">
      <w:r>
        <w:separator/>
      </w:r>
    </w:p>
  </w:footnote>
  <w:footnote w:type="continuationSeparator" w:id="0">
    <w:p w14:paraId="2CEE0CBD" w14:textId="77777777" w:rsidR="00552011" w:rsidRDefault="00552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76C29" w14:textId="77777777" w:rsidR="00427E46" w:rsidRDefault="00FD3C9E">
    <w:pPr>
      <w:pStyle w:val="BodyText"/>
      <w:spacing w:line="14" w:lineRule="auto"/>
      <w:ind w:left="0"/>
      <w:jc w:val="left"/>
      <w:rPr>
        <w:sz w:val="20"/>
      </w:rPr>
    </w:pPr>
    <w:r>
      <w:rPr>
        <w:noProof/>
        <w:sz w:val="20"/>
      </w:rPr>
      <mc:AlternateContent>
        <mc:Choice Requires="wps">
          <w:drawing>
            <wp:anchor distT="0" distB="0" distL="0" distR="0" simplePos="0" relativeHeight="251660288" behindDoc="1" locked="0" layoutInCell="1" allowOverlap="1" wp14:anchorId="16E9EBA0" wp14:editId="270104A9">
              <wp:simplePos x="0" y="0"/>
              <wp:positionH relativeFrom="page">
                <wp:posOffset>876604</wp:posOffset>
              </wp:positionH>
              <wp:positionV relativeFrom="page">
                <wp:posOffset>529102</wp:posOffset>
              </wp:positionV>
              <wp:extent cx="483425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4255" cy="180975"/>
                      </a:xfrm>
                      <a:prstGeom prst="rect">
                        <a:avLst/>
                      </a:prstGeom>
                    </wps:spPr>
                    <wps:txbx>
                      <w:txbxContent>
                        <w:p w14:paraId="124BE4F2" w14:textId="6DEE3100" w:rsidR="00427E46" w:rsidRDefault="00FD3C9E">
                          <w:pPr>
                            <w:spacing w:before="19"/>
                            <w:ind w:left="60"/>
                            <w:rPr>
                              <w:rFonts w:ascii="Verdana"/>
                              <w:i/>
                              <w:w w:val="90"/>
                              <w:sz w:val="16"/>
                            </w:rPr>
                          </w:pPr>
                          <w:r>
                            <w:rPr>
                              <w:rFonts w:ascii="Verdana"/>
                              <w:w w:val="90"/>
                              <w:sz w:val="20"/>
                            </w:rPr>
                            <w:fldChar w:fldCharType="begin"/>
                          </w:r>
                          <w:r>
                            <w:rPr>
                              <w:rFonts w:ascii="Verdana"/>
                              <w:w w:val="90"/>
                              <w:sz w:val="20"/>
                            </w:rPr>
                            <w:instrText xml:space="preserve"> PAGE </w:instrText>
                          </w:r>
                          <w:r>
                            <w:rPr>
                              <w:rFonts w:ascii="Verdana"/>
                              <w:w w:val="90"/>
                              <w:sz w:val="20"/>
                            </w:rPr>
                            <w:fldChar w:fldCharType="separate"/>
                          </w:r>
                          <w:r w:rsidR="00194A17">
                            <w:rPr>
                              <w:rFonts w:ascii="Verdana"/>
                              <w:noProof/>
                              <w:w w:val="90"/>
                              <w:sz w:val="20"/>
                            </w:rPr>
                            <w:t>8</w:t>
                          </w:r>
                          <w:r>
                            <w:rPr>
                              <w:rFonts w:ascii="Verdana"/>
                              <w:w w:val="90"/>
                              <w:sz w:val="20"/>
                            </w:rPr>
                            <w:fldChar w:fldCharType="end"/>
                          </w:r>
                          <w:r>
                            <w:rPr>
                              <w:rFonts w:ascii="Verdana"/>
                              <w:spacing w:val="24"/>
                              <w:sz w:val="20"/>
                            </w:rPr>
                            <w:t xml:space="preserve"> </w:t>
                          </w:r>
                          <w:r>
                            <w:rPr>
                              <w:rFonts w:ascii="Verdana"/>
                              <w:w w:val="90"/>
                              <w:sz w:val="20"/>
                            </w:rPr>
                            <w:t>|</w:t>
                          </w:r>
                          <w:r>
                            <w:rPr>
                              <w:rFonts w:ascii="Verdana"/>
                              <w:spacing w:val="-16"/>
                              <w:w w:val="90"/>
                              <w:sz w:val="20"/>
                            </w:rPr>
                            <w:t xml:space="preserve"> </w:t>
                          </w:r>
                          <w:r>
                            <w:rPr>
                              <w:rFonts w:ascii="Verdana"/>
                              <w:b/>
                              <w:w w:val="90"/>
                              <w:sz w:val="16"/>
                            </w:rPr>
                            <w:t>Journal</w:t>
                          </w:r>
                          <w:r>
                            <w:rPr>
                              <w:rFonts w:ascii="Verdana"/>
                              <w:b/>
                              <w:spacing w:val="-2"/>
                              <w:w w:val="90"/>
                              <w:sz w:val="16"/>
                            </w:rPr>
                            <w:t xml:space="preserve"> </w:t>
                          </w:r>
                          <w:r>
                            <w:rPr>
                              <w:rFonts w:ascii="Verdana"/>
                              <w:b/>
                              <w:w w:val="90"/>
                              <w:sz w:val="16"/>
                            </w:rPr>
                            <w:t>of</w:t>
                          </w:r>
                          <w:r>
                            <w:rPr>
                              <w:rFonts w:ascii="Verdana"/>
                              <w:b/>
                              <w:spacing w:val="-4"/>
                              <w:w w:val="90"/>
                              <w:sz w:val="16"/>
                            </w:rPr>
                            <w:t xml:space="preserve"> </w:t>
                          </w:r>
                          <w:r>
                            <w:rPr>
                              <w:rFonts w:ascii="Verdana"/>
                              <w:b/>
                              <w:w w:val="90"/>
                              <w:sz w:val="16"/>
                            </w:rPr>
                            <w:t>Mathematics</w:t>
                          </w:r>
                          <w:r>
                            <w:rPr>
                              <w:rFonts w:ascii="Verdana"/>
                              <w:b/>
                              <w:spacing w:val="-2"/>
                              <w:w w:val="90"/>
                              <w:sz w:val="16"/>
                            </w:rPr>
                            <w:t xml:space="preserve"> </w:t>
                          </w:r>
                          <w:r>
                            <w:rPr>
                              <w:rFonts w:ascii="Verdana"/>
                              <w:b/>
                              <w:w w:val="90"/>
                              <w:sz w:val="16"/>
                            </w:rPr>
                            <w:t>and</w:t>
                          </w:r>
                          <w:r>
                            <w:rPr>
                              <w:rFonts w:ascii="Verdana"/>
                              <w:b/>
                              <w:spacing w:val="-3"/>
                              <w:w w:val="90"/>
                              <w:sz w:val="16"/>
                            </w:rPr>
                            <w:t xml:space="preserve"> </w:t>
                          </w:r>
                          <w:r>
                            <w:rPr>
                              <w:rFonts w:ascii="Verdana"/>
                              <w:b/>
                              <w:w w:val="90"/>
                              <w:sz w:val="16"/>
                            </w:rPr>
                            <w:t>Science</w:t>
                          </w:r>
                          <w:r>
                            <w:rPr>
                              <w:rFonts w:ascii="Verdana"/>
                              <w:b/>
                              <w:spacing w:val="-4"/>
                              <w:w w:val="90"/>
                              <w:sz w:val="16"/>
                            </w:rPr>
                            <w:t xml:space="preserve"> </w:t>
                          </w:r>
                          <w:r>
                            <w:rPr>
                              <w:rFonts w:ascii="Verdana"/>
                              <w:b/>
                              <w:w w:val="90"/>
                              <w:sz w:val="16"/>
                            </w:rPr>
                            <w:t>Applications|</w:t>
                          </w:r>
                          <w:r>
                            <w:rPr>
                              <w:rFonts w:ascii="Verdana"/>
                              <w:b/>
                              <w:spacing w:val="-4"/>
                              <w:w w:val="90"/>
                              <w:sz w:val="16"/>
                            </w:rPr>
                            <w:t xml:space="preserve"> </w:t>
                          </w:r>
                          <w:r>
                            <w:rPr>
                              <w:rFonts w:ascii="Verdana"/>
                              <w:i/>
                              <w:w w:val="90"/>
                              <w:sz w:val="16"/>
                            </w:rPr>
                            <w:t>Vol.</w:t>
                          </w:r>
                          <w:r>
                            <w:rPr>
                              <w:rFonts w:ascii="Verdana"/>
                              <w:i/>
                              <w:spacing w:val="-4"/>
                              <w:w w:val="90"/>
                              <w:sz w:val="16"/>
                            </w:rPr>
                            <w:t xml:space="preserve"> </w:t>
                          </w:r>
                          <w:r w:rsidR="00EF0F97">
                            <w:rPr>
                              <w:rFonts w:ascii="Verdana"/>
                              <w:i/>
                              <w:w w:val="90"/>
                              <w:sz w:val="16"/>
                            </w:rPr>
                            <w:t>3</w:t>
                          </w:r>
                          <w:r>
                            <w:rPr>
                              <w:rFonts w:ascii="Verdana"/>
                              <w:i/>
                              <w:w w:val="90"/>
                              <w:sz w:val="16"/>
                            </w:rPr>
                            <w:t>,</w:t>
                          </w:r>
                          <w:r>
                            <w:rPr>
                              <w:rFonts w:ascii="Verdana"/>
                              <w:i/>
                              <w:spacing w:val="-5"/>
                              <w:w w:val="90"/>
                              <w:sz w:val="16"/>
                            </w:rPr>
                            <w:t xml:space="preserve"> </w:t>
                          </w:r>
                          <w:r>
                            <w:rPr>
                              <w:rFonts w:ascii="Verdana"/>
                              <w:i/>
                              <w:w w:val="90"/>
                              <w:sz w:val="16"/>
                            </w:rPr>
                            <w:t>No.</w:t>
                          </w:r>
                          <w:r w:rsidR="00EF0F97">
                            <w:rPr>
                              <w:rFonts w:ascii="Verdana"/>
                              <w:i/>
                              <w:w w:val="90"/>
                              <w:sz w:val="16"/>
                            </w:rPr>
                            <w:t>1</w:t>
                          </w:r>
                          <w:r>
                            <w:rPr>
                              <w:rFonts w:ascii="Verdana"/>
                              <w:i/>
                              <w:w w:val="90"/>
                              <w:sz w:val="16"/>
                            </w:rPr>
                            <w:t>,</w:t>
                          </w:r>
                          <w:r>
                            <w:rPr>
                              <w:rFonts w:ascii="Verdana"/>
                              <w:i/>
                              <w:spacing w:val="-4"/>
                              <w:w w:val="90"/>
                              <w:sz w:val="16"/>
                            </w:rPr>
                            <w:t xml:space="preserve"> </w:t>
                          </w:r>
                          <w:r w:rsidR="00501934">
                            <w:rPr>
                              <w:rFonts w:ascii="Verdana"/>
                              <w:i/>
                              <w:w w:val="90"/>
                              <w:sz w:val="16"/>
                            </w:rPr>
                            <w:t>June</w:t>
                          </w:r>
                          <w:r>
                            <w:rPr>
                              <w:rFonts w:ascii="Verdana"/>
                              <w:i/>
                              <w:spacing w:val="-3"/>
                              <w:w w:val="90"/>
                              <w:sz w:val="16"/>
                            </w:rPr>
                            <w:t xml:space="preserve"> </w:t>
                          </w:r>
                          <w:r w:rsidR="00501934">
                            <w:rPr>
                              <w:rFonts w:ascii="Verdana"/>
                              <w:i/>
                              <w:w w:val="90"/>
                              <w:sz w:val="16"/>
                            </w:rPr>
                            <w:t>2025</w:t>
                          </w:r>
                          <w:r>
                            <w:rPr>
                              <w:rFonts w:ascii="Verdana"/>
                              <w:i/>
                              <w:w w:val="90"/>
                              <w:sz w:val="16"/>
                            </w:rPr>
                            <w:t>,</w:t>
                          </w:r>
                          <w:r>
                            <w:rPr>
                              <w:rFonts w:ascii="Verdana"/>
                              <w:i/>
                              <w:spacing w:val="-4"/>
                              <w:w w:val="90"/>
                              <w:sz w:val="16"/>
                            </w:rPr>
                            <w:t xml:space="preserve"> </w:t>
                          </w:r>
                          <w:r>
                            <w:rPr>
                              <w:rFonts w:ascii="Verdana"/>
                              <w:i/>
                              <w:w w:val="90"/>
                              <w:sz w:val="16"/>
                            </w:rPr>
                            <w:t>pp.</w:t>
                          </w:r>
                          <w:r>
                            <w:rPr>
                              <w:rFonts w:ascii="Verdana"/>
                              <w:i/>
                              <w:spacing w:val="-8"/>
                              <w:w w:val="90"/>
                              <w:sz w:val="16"/>
                            </w:rPr>
                            <w:t xml:space="preserve"> </w:t>
                          </w:r>
                          <w:r w:rsidR="00501934">
                            <w:rPr>
                              <w:rFonts w:ascii="Verdana"/>
                              <w:i/>
                              <w:w w:val="90"/>
                              <w:sz w:val="16"/>
                            </w:rPr>
                            <w:t>7-14</w:t>
                          </w:r>
                        </w:p>
                        <w:p w14:paraId="73A1D048" w14:textId="77777777" w:rsidR="00501934" w:rsidRDefault="00501934">
                          <w:pPr>
                            <w:spacing w:before="19"/>
                            <w:ind w:left="60"/>
                            <w:rPr>
                              <w:rFonts w:ascii="Verdana"/>
                              <w:i/>
                              <w:sz w:val="16"/>
                            </w:rPr>
                          </w:pPr>
                        </w:p>
                      </w:txbxContent>
                    </wps:txbx>
                    <wps:bodyPr wrap="square" lIns="0" tIns="0" rIns="0" bIns="0" rtlCol="0">
                      <a:noAutofit/>
                    </wps:bodyPr>
                  </wps:wsp>
                </a:graphicData>
              </a:graphic>
            </wp:anchor>
          </w:drawing>
        </mc:Choice>
        <mc:Fallback>
          <w:pict>
            <v:shapetype w14:anchorId="16E9EBA0" id="_x0000_t202" coordsize="21600,21600" o:spt="202" path="m,l,21600r21600,l21600,xe">
              <v:stroke joinstyle="miter"/>
              <v:path gradientshapeok="t" o:connecttype="rect"/>
            </v:shapetype>
            <v:shape id="Textbox 4" o:spid="_x0000_s1026" type="#_x0000_t202" style="position:absolute;margin-left:69pt;margin-top:41.65pt;width:380.65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" filled="f" stroked="f">
              <v:path arrowok="t"/>
              <v:textbox inset="0,0,0,0">
                <w:txbxContent>
                  <w:p w14:paraId="124BE4F2" w14:textId="6DEE3100" w:rsidR="00427E46" w:rsidRDefault="00FD3C9E">
                    <w:pPr>
                      <w:spacing w:before="19"/>
                      <w:ind w:left="60"/>
                      <w:rPr>
                        <w:rFonts w:ascii="Verdana"/>
                        <w:i/>
                        <w:w w:val="90"/>
                        <w:sz w:val="16"/>
                      </w:rPr>
                    </w:pPr>
                    <w:r>
                      <w:rPr>
                        <w:rFonts w:ascii="Verdana"/>
                        <w:w w:val="90"/>
                        <w:sz w:val="20"/>
                      </w:rPr>
                      <w:fldChar w:fldCharType="begin"/>
                    </w:r>
                    <w:r>
                      <w:rPr>
                        <w:rFonts w:ascii="Verdana"/>
                        <w:w w:val="90"/>
                        <w:sz w:val="20"/>
                      </w:rPr>
                      <w:instrText xml:space="preserve"> PAGE </w:instrText>
                    </w:r>
                    <w:r>
                      <w:rPr>
                        <w:rFonts w:ascii="Verdana"/>
                        <w:w w:val="90"/>
                        <w:sz w:val="20"/>
                      </w:rPr>
                      <w:fldChar w:fldCharType="separate"/>
                    </w:r>
                    <w:r w:rsidR="00194A17">
                      <w:rPr>
                        <w:rFonts w:ascii="Verdana"/>
                        <w:noProof/>
                        <w:w w:val="90"/>
                        <w:sz w:val="20"/>
                      </w:rPr>
                      <w:t>8</w:t>
                    </w:r>
                    <w:r>
                      <w:rPr>
                        <w:rFonts w:ascii="Verdana"/>
                        <w:w w:val="90"/>
                        <w:sz w:val="20"/>
                      </w:rPr>
                      <w:fldChar w:fldCharType="end"/>
                    </w:r>
                    <w:r>
                      <w:rPr>
                        <w:rFonts w:ascii="Verdana"/>
                        <w:spacing w:val="24"/>
                        <w:sz w:val="20"/>
                      </w:rPr>
                      <w:t xml:space="preserve"> </w:t>
                    </w:r>
                    <w:r>
                      <w:rPr>
                        <w:rFonts w:ascii="Verdana"/>
                        <w:w w:val="90"/>
                        <w:sz w:val="20"/>
                      </w:rPr>
                      <w:t>|</w:t>
                    </w:r>
                    <w:r>
                      <w:rPr>
                        <w:rFonts w:ascii="Verdana"/>
                        <w:spacing w:val="-16"/>
                        <w:w w:val="90"/>
                        <w:sz w:val="20"/>
                      </w:rPr>
                      <w:t xml:space="preserve"> </w:t>
                    </w:r>
                    <w:r>
                      <w:rPr>
                        <w:rFonts w:ascii="Verdana"/>
                        <w:b/>
                        <w:w w:val="90"/>
                        <w:sz w:val="16"/>
                      </w:rPr>
                      <w:t>Journal</w:t>
                    </w:r>
                    <w:r>
                      <w:rPr>
                        <w:rFonts w:ascii="Verdana"/>
                        <w:b/>
                        <w:spacing w:val="-2"/>
                        <w:w w:val="90"/>
                        <w:sz w:val="16"/>
                      </w:rPr>
                      <w:t xml:space="preserve"> </w:t>
                    </w:r>
                    <w:r>
                      <w:rPr>
                        <w:rFonts w:ascii="Verdana"/>
                        <w:b/>
                        <w:w w:val="90"/>
                        <w:sz w:val="16"/>
                      </w:rPr>
                      <w:t>of</w:t>
                    </w:r>
                    <w:r>
                      <w:rPr>
                        <w:rFonts w:ascii="Verdana"/>
                        <w:b/>
                        <w:spacing w:val="-4"/>
                        <w:w w:val="90"/>
                        <w:sz w:val="16"/>
                      </w:rPr>
                      <w:t xml:space="preserve"> </w:t>
                    </w:r>
                    <w:r>
                      <w:rPr>
                        <w:rFonts w:ascii="Verdana"/>
                        <w:b/>
                        <w:w w:val="90"/>
                        <w:sz w:val="16"/>
                      </w:rPr>
                      <w:t>Mathematics</w:t>
                    </w:r>
                    <w:r>
                      <w:rPr>
                        <w:rFonts w:ascii="Verdana"/>
                        <w:b/>
                        <w:spacing w:val="-2"/>
                        <w:w w:val="90"/>
                        <w:sz w:val="16"/>
                      </w:rPr>
                      <w:t xml:space="preserve"> </w:t>
                    </w:r>
                    <w:r>
                      <w:rPr>
                        <w:rFonts w:ascii="Verdana"/>
                        <w:b/>
                        <w:w w:val="90"/>
                        <w:sz w:val="16"/>
                      </w:rPr>
                      <w:t>and</w:t>
                    </w:r>
                    <w:r>
                      <w:rPr>
                        <w:rFonts w:ascii="Verdana"/>
                        <w:b/>
                        <w:spacing w:val="-3"/>
                        <w:w w:val="90"/>
                        <w:sz w:val="16"/>
                      </w:rPr>
                      <w:t xml:space="preserve"> </w:t>
                    </w:r>
                    <w:r>
                      <w:rPr>
                        <w:rFonts w:ascii="Verdana"/>
                        <w:b/>
                        <w:w w:val="90"/>
                        <w:sz w:val="16"/>
                      </w:rPr>
                      <w:t>Science</w:t>
                    </w:r>
                    <w:r>
                      <w:rPr>
                        <w:rFonts w:ascii="Verdana"/>
                        <w:b/>
                        <w:spacing w:val="-4"/>
                        <w:w w:val="90"/>
                        <w:sz w:val="16"/>
                      </w:rPr>
                      <w:t xml:space="preserve"> </w:t>
                    </w:r>
                    <w:r>
                      <w:rPr>
                        <w:rFonts w:ascii="Verdana"/>
                        <w:b/>
                        <w:w w:val="90"/>
                        <w:sz w:val="16"/>
                      </w:rPr>
                      <w:t>Applications|</w:t>
                    </w:r>
                    <w:r>
                      <w:rPr>
                        <w:rFonts w:ascii="Verdana"/>
                        <w:b/>
                        <w:spacing w:val="-4"/>
                        <w:w w:val="90"/>
                        <w:sz w:val="16"/>
                      </w:rPr>
                      <w:t xml:space="preserve"> </w:t>
                    </w:r>
                    <w:r>
                      <w:rPr>
                        <w:rFonts w:ascii="Verdana"/>
                        <w:i/>
                        <w:w w:val="90"/>
                        <w:sz w:val="16"/>
                      </w:rPr>
                      <w:t>Vol.</w:t>
                    </w:r>
                    <w:r>
                      <w:rPr>
                        <w:rFonts w:ascii="Verdana"/>
                        <w:i/>
                        <w:spacing w:val="-4"/>
                        <w:w w:val="90"/>
                        <w:sz w:val="16"/>
                      </w:rPr>
                      <w:t xml:space="preserve"> </w:t>
                    </w:r>
                    <w:r w:rsidR="00EF0F97">
                      <w:rPr>
                        <w:rFonts w:ascii="Verdana"/>
                        <w:i/>
                        <w:w w:val="90"/>
                        <w:sz w:val="16"/>
                      </w:rPr>
                      <w:t>3</w:t>
                    </w:r>
                    <w:r>
                      <w:rPr>
                        <w:rFonts w:ascii="Verdana"/>
                        <w:i/>
                        <w:w w:val="90"/>
                        <w:sz w:val="16"/>
                      </w:rPr>
                      <w:t>,</w:t>
                    </w:r>
                    <w:r>
                      <w:rPr>
                        <w:rFonts w:ascii="Verdana"/>
                        <w:i/>
                        <w:spacing w:val="-5"/>
                        <w:w w:val="90"/>
                        <w:sz w:val="16"/>
                      </w:rPr>
                      <w:t xml:space="preserve"> </w:t>
                    </w:r>
                    <w:r>
                      <w:rPr>
                        <w:rFonts w:ascii="Verdana"/>
                        <w:i/>
                        <w:w w:val="90"/>
                        <w:sz w:val="16"/>
                      </w:rPr>
                      <w:t>No.</w:t>
                    </w:r>
                    <w:r w:rsidR="00EF0F97">
                      <w:rPr>
                        <w:rFonts w:ascii="Verdana"/>
                        <w:i/>
                        <w:w w:val="90"/>
                        <w:sz w:val="16"/>
                      </w:rPr>
                      <w:t>1</w:t>
                    </w:r>
                    <w:r>
                      <w:rPr>
                        <w:rFonts w:ascii="Verdana"/>
                        <w:i/>
                        <w:w w:val="90"/>
                        <w:sz w:val="16"/>
                      </w:rPr>
                      <w:t>,</w:t>
                    </w:r>
                    <w:r>
                      <w:rPr>
                        <w:rFonts w:ascii="Verdana"/>
                        <w:i/>
                        <w:spacing w:val="-4"/>
                        <w:w w:val="90"/>
                        <w:sz w:val="16"/>
                      </w:rPr>
                      <w:t xml:space="preserve"> </w:t>
                    </w:r>
                    <w:r w:rsidR="00501934">
                      <w:rPr>
                        <w:rFonts w:ascii="Verdana"/>
                        <w:i/>
                        <w:w w:val="90"/>
                        <w:sz w:val="16"/>
                      </w:rPr>
                      <w:t>June</w:t>
                    </w:r>
                    <w:r>
                      <w:rPr>
                        <w:rFonts w:ascii="Verdana"/>
                        <w:i/>
                        <w:spacing w:val="-3"/>
                        <w:w w:val="90"/>
                        <w:sz w:val="16"/>
                      </w:rPr>
                      <w:t xml:space="preserve"> </w:t>
                    </w:r>
                    <w:r w:rsidR="00501934">
                      <w:rPr>
                        <w:rFonts w:ascii="Verdana"/>
                        <w:i/>
                        <w:w w:val="90"/>
                        <w:sz w:val="16"/>
                      </w:rPr>
                      <w:t>2025</w:t>
                    </w:r>
                    <w:r>
                      <w:rPr>
                        <w:rFonts w:ascii="Verdana"/>
                        <w:i/>
                        <w:w w:val="90"/>
                        <w:sz w:val="16"/>
                      </w:rPr>
                      <w:t>,</w:t>
                    </w:r>
                    <w:r>
                      <w:rPr>
                        <w:rFonts w:ascii="Verdana"/>
                        <w:i/>
                        <w:spacing w:val="-4"/>
                        <w:w w:val="90"/>
                        <w:sz w:val="16"/>
                      </w:rPr>
                      <w:t xml:space="preserve"> </w:t>
                    </w:r>
                    <w:r>
                      <w:rPr>
                        <w:rFonts w:ascii="Verdana"/>
                        <w:i/>
                        <w:w w:val="90"/>
                        <w:sz w:val="16"/>
                      </w:rPr>
                      <w:t>pp.</w:t>
                    </w:r>
                    <w:r>
                      <w:rPr>
                        <w:rFonts w:ascii="Verdana"/>
                        <w:i/>
                        <w:spacing w:val="-8"/>
                        <w:w w:val="90"/>
                        <w:sz w:val="16"/>
                      </w:rPr>
                      <w:t xml:space="preserve"> </w:t>
                    </w:r>
                    <w:r w:rsidR="00501934">
                      <w:rPr>
                        <w:rFonts w:ascii="Verdana"/>
                        <w:i/>
                        <w:w w:val="90"/>
                        <w:sz w:val="16"/>
                      </w:rPr>
                      <w:t>7-14</w:t>
                    </w:r>
                  </w:p>
                  <w:p w14:paraId="73A1D048" w14:textId="77777777" w:rsidR="00501934" w:rsidRDefault="00501934">
                    <w:pPr>
                      <w:spacing w:before="19"/>
                      <w:ind w:left="60"/>
                      <w:rPr>
                        <w:rFonts w:ascii="Verdana"/>
                        <w:i/>
                        <w:sz w:val="16"/>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1E14D" w14:textId="77777777" w:rsidR="00427E46" w:rsidRDefault="00FD3C9E">
    <w:pPr>
      <w:pStyle w:val="BodyText"/>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6D1C8F53" wp14:editId="7BB34B60">
              <wp:simplePos x="0" y="0"/>
              <wp:positionH relativeFrom="page">
                <wp:posOffset>4662296</wp:posOffset>
              </wp:positionH>
              <wp:positionV relativeFrom="page">
                <wp:posOffset>532949</wp:posOffset>
              </wp:positionV>
              <wp:extent cx="2037714"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7714" cy="165735"/>
                      </a:xfrm>
                      <a:prstGeom prst="rect">
                        <a:avLst/>
                      </a:prstGeom>
                    </wps:spPr>
                    <wps:txbx>
                      <w:txbxContent>
                        <w:p w14:paraId="4C5F0981" w14:textId="5FBC751F" w:rsidR="00427E46" w:rsidRDefault="002A4210">
                          <w:pPr>
                            <w:spacing w:before="10"/>
                            <w:ind w:left="20"/>
                            <w:rPr>
                              <w:sz w:val="20"/>
                            </w:rPr>
                          </w:pPr>
                          <w:proofErr w:type="spellStart"/>
                          <w:r>
                            <w:rPr>
                              <w:i/>
                              <w:sz w:val="20"/>
                            </w:rPr>
                            <w:t>Laraswati</w:t>
                          </w:r>
                          <w:proofErr w:type="spellEnd"/>
                          <w:r w:rsidR="00FD3C9E">
                            <w:rPr>
                              <w:i/>
                              <w:spacing w:val="-2"/>
                              <w:sz w:val="20"/>
                            </w:rPr>
                            <w:t xml:space="preserve"> </w:t>
                          </w:r>
                          <w:r w:rsidR="00FD3C9E">
                            <w:rPr>
                              <w:i/>
                              <w:sz w:val="20"/>
                            </w:rPr>
                            <w:t>et</w:t>
                          </w:r>
                          <w:r w:rsidR="00FD3C9E">
                            <w:rPr>
                              <w:i/>
                              <w:spacing w:val="-2"/>
                              <w:sz w:val="20"/>
                            </w:rPr>
                            <w:t xml:space="preserve"> </w:t>
                          </w:r>
                          <w:r w:rsidR="00FD3C9E">
                            <w:rPr>
                              <w:i/>
                              <w:sz w:val="20"/>
                            </w:rPr>
                            <w:t>al,</w:t>
                          </w:r>
                          <w:r w:rsidR="00FD3C9E">
                            <w:rPr>
                              <w:i/>
                              <w:spacing w:val="-1"/>
                              <w:sz w:val="20"/>
                            </w:rPr>
                            <w:t xml:space="preserve"> </w:t>
                          </w:r>
                          <w:r>
                            <w:rPr>
                              <w:i/>
                              <w:sz w:val="20"/>
                            </w:rPr>
                            <w:t>Analysis</w:t>
                          </w:r>
                          <w:r w:rsidR="00F16730">
                            <w:rPr>
                              <w:i/>
                              <w:sz w:val="20"/>
                            </w:rPr>
                            <w:t xml:space="preserve"> of</w:t>
                          </w:r>
                          <w:r w:rsidR="00FD3C9E">
                            <w:rPr>
                              <w:i/>
                              <w:sz w:val="20"/>
                            </w:rPr>
                            <w:t>...</w:t>
                          </w:r>
                          <w:r w:rsidR="00FD3C9E">
                            <w:rPr>
                              <w:i/>
                              <w:spacing w:val="45"/>
                              <w:sz w:val="20"/>
                            </w:rPr>
                            <w:t xml:space="preserve">  </w:t>
                          </w:r>
                          <w:r w:rsidR="00FD3C9E">
                            <w:rPr>
                              <w:spacing w:val="-5"/>
                              <w:sz w:val="20"/>
                            </w:rPr>
                            <w:fldChar w:fldCharType="begin"/>
                          </w:r>
                          <w:r w:rsidR="00FD3C9E">
                            <w:rPr>
                              <w:spacing w:val="-5"/>
                              <w:sz w:val="20"/>
                            </w:rPr>
                            <w:instrText xml:space="preserve"> PAGE </w:instrText>
                          </w:r>
                          <w:r w:rsidR="00FD3C9E">
                            <w:rPr>
                              <w:spacing w:val="-5"/>
                              <w:sz w:val="20"/>
                            </w:rPr>
                            <w:fldChar w:fldCharType="separate"/>
                          </w:r>
                          <w:r w:rsidR="00194A17">
                            <w:rPr>
                              <w:noProof/>
                              <w:spacing w:val="-5"/>
                              <w:sz w:val="20"/>
                            </w:rPr>
                            <w:t>7</w:t>
                          </w:r>
                          <w:r w:rsidR="00FD3C9E">
                            <w:rPr>
                              <w:spacing w:val="-5"/>
                              <w:sz w:val="20"/>
                            </w:rPr>
                            <w:fldChar w:fldCharType="end"/>
                          </w:r>
                        </w:p>
                      </w:txbxContent>
                    </wps:txbx>
                    <wps:bodyPr wrap="square" lIns="0" tIns="0" rIns="0" bIns="0" rtlCol="0">
                      <a:noAutofit/>
                    </wps:bodyPr>
                  </wps:wsp>
                </a:graphicData>
              </a:graphic>
            </wp:anchor>
          </w:drawing>
        </mc:Choice>
        <mc:Fallback>
          <w:pict>
            <v:shapetype w14:anchorId="6D1C8F53" id="_x0000_t202" coordsize="21600,21600" o:spt="202" path="m,l,21600r21600,l21600,xe">
              <v:stroke joinstyle="miter"/>
              <v:path gradientshapeok="t" o:connecttype="rect"/>
            </v:shapetype>
            <v:shape id="Textbox 3" o:spid="_x0000_s1027" type="#_x0000_t202" style="position:absolute;margin-left:367.1pt;margin-top:41.95pt;width:160.4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" filled="f" stroked="f">
              <v:path arrowok="t"/>
              <v:textbox inset="0,0,0,0">
                <w:txbxContent>
                  <w:p w14:paraId="4C5F0981" w14:textId="5FBC751F" w:rsidR="00427E46" w:rsidRDefault="002A4210">
                    <w:pPr>
                      <w:spacing w:before="10"/>
                      <w:ind w:left="20"/>
                      <w:rPr>
                        <w:sz w:val="20"/>
                      </w:rPr>
                    </w:pPr>
                    <w:proofErr w:type="spellStart"/>
                    <w:r>
                      <w:rPr>
                        <w:i/>
                        <w:sz w:val="20"/>
                      </w:rPr>
                      <w:t>Laraswati</w:t>
                    </w:r>
                    <w:proofErr w:type="spellEnd"/>
                    <w:r w:rsidR="00FD3C9E">
                      <w:rPr>
                        <w:i/>
                        <w:spacing w:val="-2"/>
                        <w:sz w:val="20"/>
                      </w:rPr>
                      <w:t xml:space="preserve"> </w:t>
                    </w:r>
                    <w:r w:rsidR="00FD3C9E">
                      <w:rPr>
                        <w:i/>
                        <w:sz w:val="20"/>
                      </w:rPr>
                      <w:t>et</w:t>
                    </w:r>
                    <w:r w:rsidR="00FD3C9E">
                      <w:rPr>
                        <w:i/>
                        <w:spacing w:val="-2"/>
                        <w:sz w:val="20"/>
                      </w:rPr>
                      <w:t xml:space="preserve"> </w:t>
                    </w:r>
                    <w:r w:rsidR="00FD3C9E">
                      <w:rPr>
                        <w:i/>
                        <w:sz w:val="20"/>
                      </w:rPr>
                      <w:t>al,</w:t>
                    </w:r>
                    <w:r w:rsidR="00FD3C9E">
                      <w:rPr>
                        <w:i/>
                        <w:spacing w:val="-1"/>
                        <w:sz w:val="20"/>
                      </w:rPr>
                      <w:t xml:space="preserve"> </w:t>
                    </w:r>
                    <w:r>
                      <w:rPr>
                        <w:i/>
                        <w:sz w:val="20"/>
                      </w:rPr>
                      <w:t>Analysis</w:t>
                    </w:r>
                    <w:r w:rsidR="00F16730">
                      <w:rPr>
                        <w:i/>
                        <w:sz w:val="20"/>
                      </w:rPr>
                      <w:t xml:space="preserve"> of</w:t>
                    </w:r>
                    <w:r w:rsidR="00FD3C9E">
                      <w:rPr>
                        <w:i/>
                        <w:sz w:val="20"/>
                      </w:rPr>
                      <w:t>...</w:t>
                    </w:r>
                    <w:r w:rsidR="00FD3C9E">
                      <w:rPr>
                        <w:i/>
                        <w:spacing w:val="45"/>
                        <w:sz w:val="20"/>
                      </w:rPr>
                      <w:t xml:space="preserve">  </w:t>
                    </w:r>
                    <w:r w:rsidR="00FD3C9E">
                      <w:rPr>
                        <w:spacing w:val="-5"/>
                        <w:sz w:val="20"/>
                      </w:rPr>
                      <w:fldChar w:fldCharType="begin"/>
                    </w:r>
                    <w:r w:rsidR="00FD3C9E">
                      <w:rPr>
                        <w:spacing w:val="-5"/>
                        <w:sz w:val="20"/>
                      </w:rPr>
                      <w:instrText xml:space="preserve"> PAGE </w:instrText>
                    </w:r>
                    <w:r w:rsidR="00FD3C9E">
                      <w:rPr>
                        <w:spacing w:val="-5"/>
                        <w:sz w:val="20"/>
                      </w:rPr>
                      <w:fldChar w:fldCharType="separate"/>
                    </w:r>
                    <w:r w:rsidR="00194A17">
                      <w:rPr>
                        <w:noProof/>
                        <w:spacing w:val="-5"/>
                        <w:sz w:val="20"/>
                      </w:rPr>
                      <w:t>7</w:t>
                    </w:r>
                    <w:r w:rsidR="00FD3C9E">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574F0B"/>
    <w:multiLevelType w:val="hybridMultilevel"/>
    <w:tmpl w:val="DEF29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FCF2AD4"/>
    <w:multiLevelType w:val="hybridMultilevel"/>
    <w:tmpl w:val="9684E39E"/>
    <w:lvl w:ilvl="0" w:tplc="B3AE9840">
      <w:start w:val="1"/>
      <w:numFmt w:val="decimal"/>
      <w:lvlText w:val="%1."/>
      <w:lvlJc w:val="left"/>
      <w:pPr>
        <w:ind w:left="4198" w:hanging="281"/>
        <w:jc w:val="right"/>
      </w:pPr>
      <w:rPr>
        <w:rFonts w:ascii="Times New Roman" w:eastAsia="Times New Roman" w:hAnsi="Times New Roman" w:cs="Times New Roman" w:hint="default"/>
        <w:b/>
        <w:bCs/>
        <w:i w:val="0"/>
        <w:iCs w:val="0"/>
        <w:spacing w:val="0"/>
        <w:w w:val="100"/>
        <w:sz w:val="28"/>
        <w:szCs w:val="28"/>
        <w:lang w:val="en-US" w:eastAsia="en-US" w:bidi="ar-SA"/>
      </w:rPr>
    </w:lvl>
    <w:lvl w:ilvl="1" w:tplc="52B42BF6">
      <w:numFmt w:val="bullet"/>
      <w:lvlText w:val="•"/>
      <w:lvlJc w:val="left"/>
      <w:pPr>
        <w:ind w:left="4744" w:hanging="281"/>
      </w:pPr>
      <w:rPr>
        <w:rFonts w:hint="default"/>
        <w:lang w:val="en-US" w:eastAsia="en-US" w:bidi="ar-SA"/>
      </w:rPr>
    </w:lvl>
    <w:lvl w:ilvl="2" w:tplc="EDC0A2BC">
      <w:numFmt w:val="bullet"/>
      <w:lvlText w:val="•"/>
      <w:lvlJc w:val="left"/>
      <w:pPr>
        <w:ind w:left="5288" w:hanging="281"/>
      </w:pPr>
      <w:rPr>
        <w:rFonts w:hint="default"/>
        <w:lang w:val="en-US" w:eastAsia="en-US" w:bidi="ar-SA"/>
      </w:rPr>
    </w:lvl>
    <w:lvl w:ilvl="3" w:tplc="719CE624">
      <w:numFmt w:val="bullet"/>
      <w:lvlText w:val="•"/>
      <w:lvlJc w:val="left"/>
      <w:pPr>
        <w:ind w:left="5832" w:hanging="281"/>
      </w:pPr>
      <w:rPr>
        <w:rFonts w:hint="default"/>
        <w:lang w:val="en-US" w:eastAsia="en-US" w:bidi="ar-SA"/>
      </w:rPr>
    </w:lvl>
    <w:lvl w:ilvl="4" w:tplc="7EC6E030">
      <w:numFmt w:val="bullet"/>
      <w:lvlText w:val="•"/>
      <w:lvlJc w:val="left"/>
      <w:pPr>
        <w:ind w:left="6376" w:hanging="281"/>
      </w:pPr>
      <w:rPr>
        <w:rFonts w:hint="default"/>
        <w:lang w:val="en-US" w:eastAsia="en-US" w:bidi="ar-SA"/>
      </w:rPr>
    </w:lvl>
    <w:lvl w:ilvl="5" w:tplc="5516ADD6">
      <w:numFmt w:val="bullet"/>
      <w:lvlText w:val="•"/>
      <w:lvlJc w:val="left"/>
      <w:pPr>
        <w:ind w:left="6920" w:hanging="281"/>
      </w:pPr>
      <w:rPr>
        <w:rFonts w:hint="default"/>
        <w:lang w:val="en-US" w:eastAsia="en-US" w:bidi="ar-SA"/>
      </w:rPr>
    </w:lvl>
    <w:lvl w:ilvl="6" w:tplc="6B8E9CBC">
      <w:numFmt w:val="bullet"/>
      <w:lvlText w:val="•"/>
      <w:lvlJc w:val="left"/>
      <w:pPr>
        <w:ind w:left="7464" w:hanging="281"/>
      </w:pPr>
      <w:rPr>
        <w:rFonts w:hint="default"/>
        <w:lang w:val="en-US" w:eastAsia="en-US" w:bidi="ar-SA"/>
      </w:rPr>
    </w:lvl>
    <w:lvl w:ilvl="7" w:tplc="896EE15A">
      <w:numFmt w:val="bullet"/>
      <w:lvlText w:val="•"/>
      <w:lvlJc w:val="left"/>
      <w:pPr>
        <w:ind w:left="8008" w:hanging="281"/>
      </w:pPr>
      <w:rPr>
        <w:rFonts w:hint="default"/>
        <w:lang w:val="en-US" w:eastAsia="en-US" w:bidi="ar-SA"/>
      </w:rPr>
    </w:lvl>
    <w:lvl w:ilvl="8" w:tplc="C5E8FF2C">
      <w:numFmt w:val="bullet"/>
      <w:lvlText w:val="•"/>
      <w:lvlJc w:val="left"/>
      <w:pPr>
        <w:ind w:left="8552" w:hanging="281"/>
      </w:pPr>
      <w:rPr>
        <w:rFonts w:hint="default"/>
        <w:lang w:val="en-US" w:eastAsia="en-US" w:bidi="ar-SA"/>
      </w:rPr>
    </w:lvl>
  </w:abstractNum>
  <w:abstractNum w:abstractNumId="2">
    <w:nsid w:val="55B12D43"/>
    <w:multiLevelType w:val="hybridMultilevel"/>
    <w:tmpl w:val="C03A229A"/>
    <w:lvl w:ilvl="0" w:tplc="B77A79F8">
      <w:start w:val="1"/>
      <w:numFmt w:val="decimal"/>
      <w:lvlText w:val="2.%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46"/>
    <w:rsid w:val="000B1083"/>
    <w:rsid w:val="00113CC7"/>
    <w:rsid w:val="00117C94"/>
    <w:rsid w:val="0013728E"/>
    <w:rsid w:val="00164EEB"/>
    <w:rsid w:val="00181E33"/>
    <w:rsid w:val="0018497A"/>
    <w:rsid w:val="00194A17"/>
    <w:rsid w:val="001C4327"/>
    <w:rsid w:val="002A4210"/>
    <w:rsid w:val="002F6948"/>
    <w:rsid w:val="002F6CA8"/>
    <w:rsid w:val="00344D61"/>
    <w:rsid w:val="00351F84"/>
    <w:rsid w:val="003B4058"/>
    <w:rsid w:val="003D01F7"/>
    <w:rsid w:val="003E3F56"/>
    <w:rsid w:val="00422FA4"/>
    <w:rsid w:val="00427E46"/>
    <w:rsid w:val="00432C9F"/>
    <w:rsid w:val="004833EA"/>
    <w:rsid w:val="004C7C23"/>
    <w:rsid w:val="004E5658"/>
    <w:rsid w:val="00501934"/>
    <w:rsid w:val="005367BA"/>
    <w:rsid w:val="00552011"/>
    <w:rsid w:val="005A03BF"/>
    <w:rsid w:val="00622224"/>
    <w:rsid w:val="00624536"/>
    <w:rsid w:val="006C6F34"/>
    <w:rsid w:val="007206FB"/>
    <w:rsid w:val="00744962"/>
    <w:rsid w:val="00826D15"/>
    <w:rsid w:val="00856FA1"/>
    <w:rsid w:val="00857966"/>
    <w:rsid w:val="008C407E"/>
    <w:rsid w:val="00913274"/>
    <w:rsid w:val="00963E56"/>
    <w:rsid w:val="00A5249C"/>
    <w:rsid w:val="00A62880"/>
    <w:rsid w:val="00A67394"/>
    <w:rsid w:val="00AC2B53"/>
    <w:rsid w:val="00AD4BF9"/>
    <w:rsid w:val="00C0722A"/>
    <w:rsid w:val="00C13029"/>
    <w:rsid w:val="00C80C6A"/>
    <w:rsid w:val="00D75DD8"/>
    <w:rsid w:val="00DB0120"/>
    <w:rsid w:val="00E66990"/>
    <w:rsid w:val="00EB0744"/>
    <w:rsid w:val="00EB3F8F"/>
    <w:rsid w:val="00EF0F97"/>
    <w:rsid w:val="00EF4269"/>
    <w:rsid w:val="00F16730"/>
    <w:rsid w:val="00F24015"/>
    <w:rsid w:val="00FA654F"/>
    <w:rsid w:val="00FD3C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111A4F"/>
  <w15:docId w15:val="{63EBDE44-BE63-4BFB-8667-7BA9AC56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hanging="279"/>
      <w:jc w:val="both"/>
      <w:outlineLvl w:val="0"/>
    </w:pPr>
    <w:rPr>
      <w:b/>
      <w:bCs/>
      <w:sz w:val="28"/>
      <w:szCs w:val="28"/>
    </w:rPr>
  </w:style>
  <w:style w:type="paragraph" w:styleId="Heading2">
    <w:name w:val="heading 2"/>
    <w:basedOn w:val="Normal"/>
    <w:uiPriority w:val="9"/>
    <w:unhideWhenUsed/>
    <w:qFormat/>
    <w:pPr>
      <w:spacing w:before="47"/>
      <w:ind w:left="307"/>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7"/>
      <w:jc w:val="both"/>
    </w:pPr>
    <w:rPr>
      <w:sz w:val="24"/>
      <w:szCs w:val="24"/>
    </w:rPr>
  </w:style>
  <w:style w:type="paragraph" w:styleId="ListParagraph">
    <w:name w:val="List Paragraph"/>
    <w:basedOn w:val="Normal"/>
    <w:uiPriority w:val="34"/>
    <w:qFormat/>
    <w:pPr>
      <w:ind w:left="3651" w:hanging="279"/>
      <w:jc w:val="both"/>
    </w:pPr>
  </w:style>
  <w:style w:type="paragraph" w:customStyle="1" w:styleId="TableParagraph">
    <w:name w:val="Table Paragraph"/>
    <w:basedOn w:val="Normal"/>
    <w:uiPriority w:val="1"/>
    <w:qFormat/>
    <w:pPr>
      <w:spacing w:before="15"/>
    </w:pPr>
  </w:style>
  <w:style w:type="character" w:styleId="Hyperlink">
    <w:name w:val="Hyperlink"/>
    <w:basedOn w:val="DefaultParagraphFont"/>
    <w:uiPriority w:val="99"/>
    <w:unhideWhenUsed/>
    <w:rsid w:val="00117C94"/>
    <w:rPr>
      <w:color w:val="0000FF" w:themeColor="hyperlink"/>
      <w:u w:val="single"/>
    </w:rPr>
  </w:style>
  <w:style w:type="paragraph" w:styleId="Caption">
    <w:name w:val="caption"/>
    <w:basedOn w:val="Normal"/>
    <w:next w:val="Normal"/>
    <w:uiPriority w:val="35"/>
    <w:unhideWhenUsed/>
    <w:qFormat/>
    <w:rsid w:val="004E5658"/>
    <w:pPr>
      <w:widowControl/>
      <w:autoSpaceDE/>
      <w:autoSpaceDN/>
      <w:spacing w:after="200"/>
    </w:pPr>
    <w:rPr>
      <w:rFonts w:asciiTheme="minorHAnsi" w:eastAsiaTheme="minorHAnsi" w:hAnsiTheme="minorHAnsi" w:cstheme="minorBidi"/>
      <w:i/>
      <w:iCs/>
      <w:color w:val="1F497D" w:themeColor="text2"/>
      <w:sz w:val="18"/>
      <w:szCs w:val="18"/>
      <w:lang w:val="en"/>
    </w:rPr>
  </w:style>
  <w:style w:type="paragraph" w:styleId="NoSpacing">
    <w:name w:val="No Spacing"/>
    <w:uiPriority w:val="1"/>
    <w:qFormat/>
    <w:rsid w:val="00D75DD8"/>
    <w:pPr>
      <w:widowControl/>
      <w:autoSpaceDE/>
      <w:autoSpaceDN/>
    </w:pPr>
    <w:rPr>
      <w:lang w:val="en"/>
    </w:rPr>
  </w:style>
  <w:style w:type="table" w:customStyle="1" w:styleId="PlainTable21">
    <w:name w:val="Plain Table 21"/>
    <w:basedOn w:val="TableNormal"/>
    <w:uiPriority w:val="42"/>
    <w:rsid w:val="00624536"/>
    <w:pPr>
      <w:widowControl/>
      <w:autoSpaceDE/>
      <w:autoSpaceDN/>
    </w:pPr>
    <w:rPr>
      <w:lang w:val="e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4C7C23"/>
    <w:rPr>
      <w:color w:val="666666"/>
    </w:rPr>
  </w:style>
  <w:style w:type="paragraph" w:styleId="Footer">
    <w:name w:val="footer"/>
    <w:basedOn w:val="Normal"/>
    <w:link w:val="FooterChar"/>
    <w:uiPriority w:val="99"/>
    <w:unhideWhenUsed/>
    <w:rsid w:val="00F16730"/>
    <w:pPr>
      <w:tabs>
        <w:tab w:val="center" w:pos="4513"/>
        <w:tab w:val="right" w:pos="9026"/>
      </w:tabs>
    </w:pPr>
  </w:style>
  <w:style w:type="character" w:customStyle="1" w:styleId="FooterChar">
    <w:name w:val="Footer Char"/>
    <w:basedOn w:val="DefaultParagraphFont"/>
    <w:link w:val="Footer"/>
    <w:uiPriority w:val="99"/>
    <w:rsid w:val="00F16730"/>
    <w:rPr>
      <w:rFonts w:ascii="Times New Roman" w:eastAsia="Times New Roman" w:hAnsi="Times New Roman" w:cs="Times New Roman"/>
    </w:rPr>
  </w:style>
  <w:style w:type="paragraph" w:styleId="Header">
    <w:name w:val="header"/>
    <w:basedOn w:val="Normal"/>
    <w:link w:val="HeaderChar"/>
    <w:uiPriority w:val="99"/>
    <w:unhideWhenUsed/>
    <w:rsid w:val="00F16730"/>
    <w:pPr>
      <w:tabs>
        <w:tab w:val="center" w:pos="4513"/>
        <w:tab w:val="right" w:pos="9026"/>
      </w:tabs>
    </w:pPr>
  </w:style>
  <w:style w:type="character" w:customStyle="1" w:styleId="HeaderChar">
    <w:name w:val="Header Char"/>
    <w:basedOn w:val="DefaultParagraphFont"/>
    <w:link w:val="Header"/>
    <w:uiPriority w:val="99"/>
    <w:rsid w:val="00F16730"/>
    <w:rPr>
      <w:rFonts w:ascii="Times New Roman" w:eastAsia="Times New Roman" w:hAnsi="Times New Roman" w:cs="Times New Roman"/>
    </w:rPr>
  </w:style>
  <w:style w:type="table" w:styleId="TableGrid">
    <w:name w:val="Table Grid"/>
    <w:basedOn w:val="TableNormal"/>
    <w:uiPriority w:val="39"/>
    <w:rsid w:val="00EB074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13259">
      <w:bodyDiv w:val="1"/>
      <w:marLeft w:val="0"/>
      <w:marRight w:val="0"/>
      <w:marTop w:val="0"/>
      <w:marBottom w:val="0"/>
      <w:divBdr>
        <w:top w:val="none" w:sz="0" w:space="0" w:color="auto"/>
        <w:left w:val="none" w:sz="0" w:space="0" w:color="auto"/>
        <w:bottom w:val="none" w:sz="0" w:space="0" w:color="auto"/>
        <w:right w:val="none" w:sz="0" w:space="0" w:color="auto"/>
      </w:divBdr>
    </w:div>
    <w:div w:id="261570809">
      <w:bodyDiv w:val="1"/>
      <w:marLeft w:val="0"/>
      <w:marRight w:val="0"/>
      <w:marTop w:val="0"/>
      <w:marBottom w:val="0"/>
      <w:divBdr>
        <w:top w:val="none" w:sz="0" w:space="0" w:color="auto"/>
        <w:left w:val="none" w:sz="0" w:space="0" w:color="auto"/>
        <w:bottom w:val="none" w:sz="0" w:space="0" w:color="auto"/>
        <w:right w:val="none" w:sz="0" w:space="0" w:color="auto"/>
      </w:divBdr>
    </w:div>
    <w:div w:id="271590871">
      <w:bodyDiv w:val="1"/>
      <w:marLeft w:val="0"/>
      <w:marRight w:val="0"/>
      <w:marTop w:val="0"/>
      <w:marBottom w:val="0"/>
      <w:divBdr>
        <w:top w:val="none" w:sz="0" w:space="0" w:color="auto"/>
        <w:left w:val="none" w:sz="0" w:space="0" w:color="auto"/>
        <w:bottom w:val="none" w:sz="0" w:space="0" w:color="auto"/>
        <w:right w:val="none" w:sz="0" w:space="0" w:color="auto"/>
      </w:divBdr>
    </w:div>
    <w:div w:id="388309026">
      <w:bodyDiv w:val="1"/>
      <w:marLeft w:val="0"/>
      <w:marRight w:val="0"/>
      <w:marTop w:val="0"/>
      <w:marBottom w:val="0"/>
      <w:divBdr>
        <w:top w:val="none" w:sz="0" w:space="0" w:color="auto"/>
        <w:left w:val="none" w:sz="0" w:space="0" w:color="auto"/>
        <w:bottom w:val="none" w:sz="0" w:space="0" w:color="auto"/>
        <w:right w:val="none" w:sz="0" w:space="0" w:color="auto"/>
      </w:divBdr>
    </w:div>
    <w:div w:id="448819483">
      <w:bodyDiv w:val="1"/>
      <w:marLeft w:val="0"/>
      <w:marRight w:val="0"/>
      <w:marTop w:val="0"/>
      <w:marBottom w:val="0"/>
      <w:divBdr>
        <w:top w:val="none" w:sz="0" w:space="0" w:color="auto"/>
        <w:left w:val="none" w:sz="0" w:space="0" w:color="auto"/>
        <w:bottom w:val="none" w:sz="0" w:space="0" w:color="auto"/>
        <w:right w:val="none" w:sz="0" w:space="0" w:color="auto"/>
      </w:divBdr>
    </w:div>
    <w:div w:id="1128082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5914/mathstat.v2i2.195" TargetMode="External"/><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20Vivobook\Downloads\statiska\jurnal%20rujukan%20klpok%2010\Copy%20of%20Dataset%20-%20Satu%20Data%20NTB%20(1)(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en-US" sz="1400" b="0" i="0" u="none" strike="noStrike" baseline="0">
                <a:solidFill>
                  <a:sysClr val="windowText" lastClr="000000">
                    <a:lumMod val="65000"/>
                    <a:lumOff val="35000"/>
                  </a:sysClr>
                </a:solidFill>
                <a:latin typeface="Calibri" panose="020F0502020204030204"/>
              </a:rPr>
              <a:t>Chili</a:t>
            </a:r>
          </a:p>
        </c:rich>
      </c:tx>
      <c:overlay val="0"/>
      <c:spPr>
        <a:noFill/>
        <a:ln>
          <a:noFill/>
        </a:ln>
        <a:effectLst/>
      </c:spPr>
      <c:txPr>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724759405074366"/>
          <c:y val="0.17171296296296296"/>
          <c:w val="0.85219685039370074"/>
          <c:h val="0.44818642461358998"/>
        </c:manualLayout>
      </c:layout>
      <c:barChart>
        <c:barDir val="col"/>
        <c:grouping val="clustered"/>
        <c:varyColors val="0"/>
        <c:ser>
          <c:idx val="0"/>
          <c:order val="0"/>
          <c:spPr>
            <a:solidFill>
              <a:schemeClr val="accent1"/>
            </a:solidFill>
            <a:ln>
              <a:noFill/>
            </a:ln>
            <a:effectLst/>
          </c:spPr>
          <c:invertIfNegative val="0"/>
          <c:cat>
            <c:multiLvlStrRef>
              <c:f>Sheet2!$A$2:$B$11</c:f>
              <c:multiLvlStrCache>
                <c:ptCount val="10"/>
                <c:lvl>
                  <c:pt idx="0">
                    <c:v>Lombok Barat</c:v>
                  </c:pt>
                  <c:pt idx="1">
                    <c:v>Lombok Tengah</c:v>
                  </c:pt>
                  <c:pt idx="2">
                    <c:v>Lombok Timur</c:v>
                  </c:pt>
                  <c:pt idx="3">
                    <c:v>Sumbawa</c:v>
                  </c:pt>
                  <c:pt idx="4">
                    <c:v>Dompu</c:v>
                  </c:pt>
                  <c:pt idx="5">
                    <c:v>Bima</c:v>
                  </c:pt>
                  <c:pt idx="6">
                    <c:v>Sumbawa Barat</c:v>
                  </c:pt>
                  <c:pt idx="7">
                    <c:v>Lombok Utara</c:v>
                  </c:pt>
                  <c:pt idx="8">
                    <c:v>Kota Mataram</c:v>
                  </c:pt>
                  <c:pt idx="9">
                    <c:v>Kota Bima</c:v>
                  </c:pt>
                </c:lvl>
                <c:lvl>
                  <c:pt idx="0">
                    <c:v>2024</c:v>
                  </c:pt>
                </c:lvl>
              </c:multiLvlStrCache>
            </c:multiLvlStrRef>
          </c:cat>
          <c:val>
            <c:numRef>
              <c:f>Sheet2!$C$2:$C$11</c:f>
              <c:numCache>
                <c:formatCode>General</c:formatCode>
                <c:ptCount val="10"/>
                <c:pt idx="0">
                  <c:v>15941</c:v>
                </c:pt>
                <c:pt idx="1">
                  <c:v>18643.25</c:v>
                </c:pt>
                <c:pt idx="2">
                  <c:v>648588.02</c:v>
                </c:pt>
                <c:pt idx="3">
                  <c:v>41820.99</c:v>
                </c:pt>
                <c:pt idx="4">
                  <c:v>10490.5</c:v>
                </c:pt>
                <c:pt idx="5">
                  <c:v>40976</c:v>
                </c:pt>
                <c:pt idx="6">
                  <c:v>1904.34</c:v>
                </c:pt>
                <c:pt idx="7">
                  <c:v>162422.16</c:v>
                </c:pt>
                <c:pt idx="8">
                  <c:v>176</c:v>
                </c:pt>
                <c:pt idx="9">
                  <c:v>590</c:v>
                </c:pt>
              </c:numCache>
            </c:numRef>
          </c:val>
          <c:extLst xmlns:c16r2="http://schemas.microsoft.com/office/drawing/2015/06/chart">
            <c:ext xmlns:c16="http://schemas.microsoft.com/office/drawing/2014/chart" uri="{C3380CC4-5D6E-409C-BE32-E72D297353CC}">
              <c16:uniqueId val="{00000000-C531-4D28-B65B-E51F581D3BA5}"/>
            </c:ext>
          </c:extLst>
        </c:ser>
        <c:ser>
          <c:idx val="1"/>
          <c:order val="1"/>
          <c:spPr>
            <a:solidFill>
              <a:schemeClr val="accent2"/>
            </a:solidFill>
            <a:ln>
              <a:noFill/>
            </a:ln>
            <a:effectLst/>
          </c:spPr>
          <c:invertIfNegative val="0"/>
          <c:cat>
            <c:multiLvlStrRef>
              <c:f>Sheet2!$A$2:$B$11</c:f>
              <c:multiLvlStrCache>
                <c:ptCount val="10"/>
                <c:lvl>
                  <c:pt idx="0">
                    <c:v>Lombok Barat</c:v>
                  </c:pt>
                  <c:pt idx="1">
                    <c:v>Lombok Tengah</c:v>
                  </c:pt>
                  <c:pt idx="2">
                    <c:v>Lombok Timur</c:v>
                  </c:pt>
                  <c:pt idx="3">
                    <c:v>Sumbawa</c:v>
                  </c:pt>
                  <c:pt idx="4">
                    <c:v>Dompu</c:v>
                  </c:pt>
                  <c:pt idx="5">
                    <c:v>Bima</c:v>
                  </c:pt>
                  <c:pt idx="6">
                    <c:v>Sumbawa Barat</c:v>
                  </c:pt>
                  <c:pt idx="7">
                    <c:v>Lombok Utara</c:v>
                  </c:pt>
                  <c:pt idx="8">
                    <c:v>Kota Mataram</c:v>
                  </c:pt>
                  <c:pt idx="9">
                    <c:v>Kota Bima</c:v>
                  </c:pt>
                </c:lvl>
                <c:lvl>
                  <c:pt idx="0">
                    <c:v>2024</c:v>
                  </c:pt>
                </c:lvl>
              </c:multiLvlStrCache>
            </c:multiLvlStrRef>
          </c:cat>
          <c:val>
            <c:numRef>
              <c:f>Sheet2!$D$2:$D$11</c:f>
              <c:numCache>
                <c:formatCode>General</c:formatCode>
                <c:ptCount val="10"/>
                <c:pt idx="0">
                  <c:v>181</c:v>
                </c:pt>
                <c:pt idx="1">
                  <c:v>263.2</c:v>
                </c:pt>
                <c:pt idx="2">
                  <c:v>6531.07</c:v>
                </c:pt>
                <c:pt idx="3">
                  <c:v>401.43</c:v>
                </c:pt>
                <c:pt idx="4">
                  <c:v>134.5</c:v>
                </c:pt>
                <c:pt idx="5">
                  <c:v>253.38</c:v>
                </c:pt>
                <c:pt idx="6">
                  <c:v>14.33</c:v>
                </c:pt>
                <c:pt idx="7">
                  <c:v>539.53</c:v>
                </c:pt>
                <c:pt idx="8">
                  <c:v>6</c:v>
                </c:pt>
                <c:pt idx="9">
                  <c:v>6.19</c:v>
                </c:pt>
              </c:numCache>
            </c:numRef>
          </c:val>
          <c:extLst xmlns:c16r2="http://schemas.microsoft.com/office/drawing/2015/06/chart">
            <c:ext xmlns:c16="http://schemas.microsoft.com/office/drawing/2014/chart" uri="{C3380CC4-5D6E-409C-BE32-E72D297353CC}">
              <c16:uniqueId val="{00000001-C531-4D28-B65B-E51F581D3BA5}"/>
            </c:ext>
          </c:extLst>
        </c:ser>
        <c:ser>
          <c:idx val="2"/>
          <c:order val="2"/>
          <c:spPr>
            <a:solidFill>
              <a:schemeClr val="accent3"/>
            </a:solidFill>
            <a:ln>
              <a:noFill/>
            </a:ln>
            <a:effectLst/>
          </c:spPr>
          <c:invertIfNegative val="0"/>
          <c:cat>
            <c:multiLvlStrRef>
              <c:f>Sheet2!$A$2:$B$11</c:f>
              <c:multiLvlStrCache>
                <c:ptCount val="10"/>
                <c:lvl>
                  <c:pt idx="0">
                    <c:v>Lombok Barat</c:v>
                  </c:pt>
                  <c:pt idx="1">
                    <c:v>Lombok Tengah</c:v>
                  </c:pt>
                  <c:pt idx="2">
                    <c:v>Lombok Timur</c:v>
                  </c:pt>
                  <c:pt idx="3">
                    <c:v>Sumbawa</c:v>
                  </c:pt>
                  <c:pt idx="4">
                    <c:v>Dompu</c:v>
                  </c:pt>
                  <c:pt idx="5">
                    <c:v>Bima</c:v>
                  </c:pt>
                  <c:pt idx="6">
                    <c:v>Sumbawa Barat</c:v>
                  </c:pt>
                  <c:pt idx="7">
                    <c:v>Lombok Utara</c:v>
                  </c:pt>
                  <c:pt idx="8">
                    <c:v>Kota Mataram</c:v>
                  </c:pt>
                  <c:pt idx="9">
                    <c:v>Kota Bima</c:v>
                  </c:pt>
                </c:lvl>
                <c:lvl>
                  <c:pt idx="0">
                    <c:v>2024</c:v>
                  </c:pt>
                </c:lvl>
              </c:multiLvlStrCache>
            </c:multiLvlStrRef>
          </c:cat>
          <c:val>
            <c:numRef>
              <c:f>Sheet2!$E$2:$E$11</c:f>
              <c:numCache>
                <c:formatCode>0.00</c:formatCode>
                <c:ptCount val="10"/>
                <c:pt idx="0">
                  <c:v>88.07</c:v>
                </c:pt>
                <c:pt idx="1">
                  <c:v>70.83</c:v>
                </c:pt>
                <c:pt idx="2">
                  <c:v>99.31</c:v>
                </c:pt>
                <c:pt idx="3">
                  <c:v>104.18</c:v>
                </c:pt>
                <c:pt idx="4" formatCode="0">
                  <c:v>78</c:v>
                </c:pt>
                <c:pt idx="5">
                  <c:v>161.72</c:v>
                </c:pt>
                <c:pt idx="6">
                  <c:v>132.88999999999999</c:v>
                </c:pt>
                <c:pt idx="7">
                  <c:v>301.04000000000002</c:v>
                </c:pt>
                <c:pt idx="8">
                  <c:v>29.33</c:v>
                </c:pt>
                <c:pt idx="9">
                  <c:v>95.32</c:v>
                </c:pt>
              </c:numCache>
            </c:numRef>
          </c:val>
          <c:extLst xmlns:c16r2="http://schemas.microsoft.com/office/drawing/2015/06/chart">
            <c:ext xmlns:c16="http://schemas.microsoft.com/office/drawing/2014/chart" uri="{C3380CC4-5D6E-409C-BE32-E72D297353CC}">
              <c16:uniqueId val="{00000002-C531-4D28-B65B-E51F581D3BA5}"/>
            </c:ext>
          </c:extLst>
        </c:ser>
        <c:dLbls>
          <c:showLegendKey val="0"/>
          <c:showVal val="0"/>
          <c:showCatName val="0"/>
          <c:showSerName val="0"/>
          <c:showPercent val="0"/>
          <c:showBubbleSize val="0"/>
        </c:dLbls>
        <c:gapWidth val="0"/>
        <c:axId val="162808440"/>
        <c:axId val="162808832"/>
      </c:barChart>
      <c:catAx>
        <c:axId val="162808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162808832"/>
        <c:crosses val="autoZero"/>
        <c:auto val="1"/>
        <c:lblAlgn val="ctr"/>
        <c:lblOffset val="100"/>
        <c:noMultiLvlLbl val="0"/>
      </c:catAx>
      <c:valAx>
        <c:axId val="162808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1628084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280587FFA7484CBB109FF9A773D166"/>
        <w:category>
          <w:name w:val="General"/>
          <w:gallery w:val="placeholder"/>
        </w:category>
        <w:types>
          <w:type w:val="bbPlcHdr"/>
        </w:types>
        <w:behaviors>
          <w:behavior w:val="content"/>
        </w:behaviors>
        <w:guid w:val="{1CC02E1D-AFD7-480B-A6E0-8D162EBD953D}"/>
      </w:docPartPr>
      <w:docPartBody>
        <w:p w:rsidR="00C50395" w:rsidRDefault="0084063D" w:rsidP="0084063D">
          <w:pPr>
            <w:pStyle w:val="ED280587FFA7484CBB109FF9A773D166"/>
          </w:pPr>
          <w:r w:rsidRPr="005D37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63D"/>
    <w:rsid w:val="00131FF8"/>
    <w:rsid w:val="00187E56"/>
    <w:rsid w:val="00585CF4"/>
    <w:rsid w:val="0084063D"/>
    <w:rsid w:val="00A85104"/>
    <w:rsid w:val="00AF5C89"/>
    <w:rsid w:val="00C50395"/>
    <w:rsid w:val="00D84B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395"/>
  </w:style>
  <w:style w:type="paragraph" w:customStyle="1" w:styleId="ED280587FFA7484CBB109FF9A773D166">
    <w:name w:val="ED280587FFA7484CBB109FF9A773D166"/>
    <w:rsid w:val="0084063D"/>
  </w:style>
  <w:style w:type="paragraph" w:customStyle="1" w:styleId="1DA62C06D61842A0A77F444817043032">
    <w:name w:val="1DA62C06D61842A0A77F444817043032"/>
    <w:rsid w:val="0084063D"/>
  </w:style>
  <w:style w:type="paragraph" w:customStyle="1" w:styleId="9606F6B90D884245B64AE07563210CC7">
    <w:name w:val="9606F6B90D884245B64AE07563210CC7"/>
    <w:rsid w:val="0084063D"/>
  </w:style>
  <w:style w:type="paragraph" w:customStyle="1" w:styleId="8F820C1E472449A8ADDD64C40E632C2C">
    <w:name w:val="8F820C1E472449A8ADDD64C40E632C2C"/>
    <w:rsid w:val="0084063D"/>
  </w:style>
  <w:style w:type="paragraph" w:customStyle="1" w:styleId="87C1C19BB375438095DC6EE9241B7CE6">
    <w:name w:val="87C1C19BB375438095DC6EE9241B7CE6"/>
    <w:rsid w:val="00C50395"/>
  </w:style>
  <w:style w:type="paragraph" w:customStyle="1" w:styleId="9D4ED4EC31E94DEF9F7EBED812F88D91">
    <w:name w:val="9D4ED4EC31E94DEF9F7EBED812F88D91"/>
    <w:rsid w:val="00C50395"/>
  </w:style>
  <w:style w:type="paragraph" w:customStyle="1" w:styleId="46A52485B81C4C70B40585C96752DD70">
    <w:name w:val="46A52485B81C4C70B40585C96752DD70"/>
    <w:rsid w:val="00C50395"/>
  </w:style>
  <w:style w:type="paragraph" w:customStyle="1" w:styleId="3037A832FDA7455EA0034AB34A9C0E41">
    <w:name w:val="3037A832FDA7455EA0034AB34A9C0E41"/>
    <w:rsid w:val="00C50395"/>
  </w:style>
  <w:style w:type="paragraph" w:customStyle="1" w:styleId="B18FC07BE48F430885526DDF8FA7CFDC">
    <w:name w:val="B18FC07BE48F430885526DDF8FA7CFDC"/>
    <w:rsid w:val="00C50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E5812-1A56-48BE-8239-8BB6111D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10459</Words>
  <Characters>59617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69937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Microsoft account</cp:lastModifiedBy>
  <cp:revision>6</cp:revision>
  <dcterms:created xsi:type="dcterms:W3CDTF">2025-08-08T05:17:00Z</dcterms:created>
  <dcterms:modified xsi:type="dcterms:W3CDTF">2025-08-10T13:31:00Z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2021</vt:lpwstr>
  </property>
  <property fmtid="{D5CDD505-2E9C-101B-9397-08002B2CF9AE}" pid="4" name="LastSaved">
    <vt:filetime>2025-08-04T00:00:00Z</vt:filetime>
  </property>
  <property fmtid="{D5CDD505-2E9C-101B-9397-08002B2CF9AE}" pid="5" name="Producer">
    <vt:lpwstr>Microsoft® Word 2021</vt:lpwstr>
  </property>
  <property fmtid="{D5CDD505-2E9C-101B-9397-08002B2CF9AE}" pid="6" name="GrammarlyDocumentId">
    <vt:lpwstr>f9b0fb32-b7e6-42bd-9479-9b5757e8a1d1</vt:lpwstr>
  </property>
  <property fmtid="{D5CDD505-2E9C-101B-9397-08002B2CF9AE}" pid="7" name="Mendeley Recent Style Id 0_1">
    <vt:lpwstr>http://www.zotero.org/styles/american-political-science-association</vt:lpwstr>
  </property>
  <property fmtid="{D5CDD505-2E9C-101B-9397-08002B2CF9AE}" pid="8" name="Mendeley Recent Style Name 0_1">
    <vt:lpwstr>American Political Science Association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6th/7th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http://www.zotero.org/styles/harvard-cite-them-right</vt:lpwstr>
  </property>
  <property fmtid="{D5CDD505-2E9C-101B-9397-08002B2CF9AE}" pid="16" name="Mendeley Recent Style Name 4_1">
    <vt:lpwstr>Cite Them Right 12th edition - Harvard</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http://www.zotero.org/styles/modern-humanities-research-association</vt:lpwstr>
  </property>
  <property fmtid="{D5CDD505-2E9C-101B-9397-08002B2CF9AE}" pid="20" name="Mendeley Recent Style Name 6_1">
    <vt:lpwstr>Modern Humanities Research Association 4th edition (note with bibliography)</vt:lpwstr>
  </property>
  <property fmtid="{D5CDD505-2E9C-101B-9397-08002B2CF9AE}" pid="21" name="Mendeley Recent Style Id 7_1">
    <vt:lpwstr>http://www.zotero.org/styles/modern-language-association</vt:lpwstr>
  </property>
  <property fmtid="{D5CDD505-2E9C-101B-9397-08002B2CF9AE}" pid="22" name="Mendeley Recent Style Name 7_1">
    <vt:lpwstr>Modern Language Association 9th edition</vt:lpwstr>
  </property>
  <property fmtid="{D5CDD505-2E9C-101B-9397-08002B2CF9AE}" pid="23" name="Mendeley Recent Style Id 8_1">
    <vt:lpwstr>http://www.zotero.org/styles/nature</vt:lpwstr>
  </property>
  <property fmtid="{D5CDD505-2E9C-101B-9397-08002B2CF9AE}" pid="24" name="Mendeley Recent Style Name 8_1">
    <vt:lpwstr>Nature</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y fmtid="{D5CDD505-2E9C-101B-9397-08002B2CF9AE}" pid="27" name="Mendeley Citation Style_1">
    <vt:lpwstr>http://www.zotero.org/styles/apa</vt:lpwstr>
  </property>
  <property fmtid="{D5CDD505-2E9C-101B-9397-08002B2CF9AE}" pid="28" name="Mendeley Document_1">
    <vt:lpwstr>True</vt:lpwstr>
  </property>
  <property fmtid="{D5CDD505-2E9C-101B-9397-08002B2CF9AE}" pid="29" name="Mendeley Unique User Id_1">
    <vt:lpwstr>b53c3d27-4cc4-33ad-8aa0-e197553e182e</vt:lpwstr>
  </property>
</Properties>
</file>