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5B29" w14:textId="77777777" w:rsidR="004778A8" w:rsidRPr="000268F0" w:rsidRDefault="004778A8" w:rsidP="00B70DE7">
      <w:pPr>
        <w:pStyle w:val="Heading1"/>
        <w:rPr>
          <w:rStyle w:val="shorttext"/>
          <w:b w:val="0"/>
          <w:sz w:val="2"/>
          <w:szCs w:val="34"/>
          <w:shd w:val="clear" w:color="auto" w:fill="FFFFFF"/>
          <w:lang w:val="id-ID"/>
        </w:rPr>
      </w:pPr>
    </w:p>
    <w:p w14:paraId="324A17C6" w14:textId="363CF152" w:rsidR="00D41274" w:rsidRDefault="004B085B" w:rsidP="004B085B">
      <w:pPr>
        <w:pStyle w:val="NormalWeb"/>
        <w:spacing w:line="276" w:lineRule="auto"/>
        <w:jc w:val="center"/>
        <w:rPr>
          <w:rStyle w:val="Emphasis"/>
          <w:rFonts w:eastAsiaTheme="majorEastAsia"/>
          <w:b/>
          <w:bCs/>
          <w:color w:val="000000"/>
        </w:rPr>
      </w:pPr>
      <w:r w:rsidRPr="003B28D2">
        <w:rPr>
          <w:rStyle w:val="Emphasis"/>
          <w:rFonts w:eastAsiaTheme="majorEastAsia"/>
          <w:b/>
          <w:bCs/>
          <w:color w:val="000000"/>
        </w:rPr>
        <w:t>Understanding Students’ Proportional Reasoning through Contextual Tasks in RME: A Qualitative Perspective</w:t>
      </w:r>
    </w:p>
    <w:p w14:paraId="5A3BC244" w14:textId="77777777" w:rsidR="0065712F" w:rsidRPr="0065712F" w:rsidRDefault="0065712F" w:rsidP="0065712F">
      <w:pPr>
        <w:spacing w:before="100" w:beforeAutospacing="1" w:after="100" w:afterAutospacing="1" w:line="276" w:lineRule="auto"/>
        <w:jc w:val="center"/>
        <w:rPr>
          <w:rFonts w:eastAsiaTheme="majorEastAsia"/>
          <w:b/>
          <w:bCs/>
          <w:i/>
          <w:iCs/>
          <w:color w:val="000000"/>
          <w:vertAlign w:val="superscript"/>
          <w:lang w:val="en-US" w:eastAsia="id-ID"/>
        </w:rPr>
      </w:pPr>
      <w:r w:rsidRPr="0065712F">
        <w:rPr>
          <w:rFonts w:eastAsiaTheme="majorEastAsia"/>
          <w:b/>
          <w:bCs/>
          <w:i/>
          <w:iCs/>
          <w:color w:val="000000"/>
          <w:lang w:val="id-ID" w:eastAsia="id-ID"/>
        </w:rPr>
        <w:t>Desventri etmy</w:t>
      </w:r>
      <w:r w:rsidRPr="0065712F">
        <w:rPr>
          <w:rFonts w:eastAsiaTheme="majorEastAsia"/>
          <w:b/>
          <w:bCs/>
          <w:i/>
          <w:iCs/>
          <w:color w:val="000000"/>
          <w:vertAlign w:val="superscript"/>
          <w:lang w:val="en-US" w:eastAsia="id-ID"/>
        </w:rPr>
        <w:t>1</w:t>
      </w:r>
      <w:r w:rsidRPr="0065712F">
        <w:rPr>
          <w:rFonts w:eastAsiaTheme="majorEastAsia"/>
          <w:b/>
          <w:bCs/>
          <w:i/>
          <w:iCs/>
          <w:color w:val="000000"/>
          <w:lang w:val="en-US" w:eastAsia="id-ID"/>
        </w:rPr>
        <w:t xml:space="preserve">, </w:t>
      </w:r>
      <w:r w:rsidRPr="0065712F">
        <w:rPr>
          <w:rFonts w:eastAsiaTheme="majorEastAsia"/>
          <w:b/>
          <w:bCs/>
          <w:i/>
          <w:iCs/>
          <w:color w:val="000000"/>
          <w:lang w:val="id-ID" w:eastAsia="id-ID"/>
        </w:rPr>
        <w:t>Prismadian amalia putri</w:t>
      </w:r>
      <w:r w:rsidRPr="0065712F">
        <w:rPr>
          <w:rFonts w:eastAsiaTheme="majorEastAsia"/>
          <w:b/>
          <w:bCs/>
          <w:i/>
          <w:iCs/>
          <w:color w:val="000000"/>
          <w:vertAlign w:val="superscript"/>
          <w:lang w:val="en-US" w:eastAsia="id-ID"/>
        </w:rPr>
        <w:t>2</w:t>
      </w:r>
      <w:r w:rsidRPr="0065712F">
        <w:rPr>
          <w:rFonts w:eastAsiaTheme="majorEastAsia"/>
          <w:b/>
          <w:bCs/>
          <w:i/>
          <w:iCs/>
          <w:color w:val="000000"/>
          <w:lang w:val="en-US" w:eastAsia="id-ID"/>
        </w:rPr>
        <w:t xml:space="preserve">, </w:t>
      </w:r>
      <w:r w:rsidRPr="0065712F">
        <w:rPr>
          <w:rFonts w:eastAsiaTheme="majorEastAsia"/>
          <w:b/>
          <w:bCs/>
          <w:i/>
          <w:iCs/>
          <w:color w:val="000000"/>
          <w:lang w:val="id-ID" w:eastAsia="id-ID"/>
        </w:rPr>
        <w:t>Eko yandi raharjo</w:t>
      </w:r>
      <w:r w:rsidRPr="0065712F">
        <w:rPr>
          <w:rFonts w:eastAsiaTheme="majorEastAsia"/>
          <w:b/>
          <w:bCs/>
          <w:i/>
          <w:iCs/>
          <w:color w:val="000000"/>
          <w:vertAlign w:val="superscript"/>
          <w:lang w:val="en-US" w:eastAsia="id-ID"/>
        </w:rPr>
        <w:t>3</w:t>
      </w:r>
      <w:r w:rsidRPr="0065712F">
        <w:rPr>
          <w:rFonts w:eastAsiaTheme="majorEastAsia"/>
          <w:b/>
          <w:bCs/>
          <w:i/>
          <w:iCs/>
          <w:color w:val="000000"/>
          <w:lang w:val="en-US" w:eastAsia="id-ID"/>
        </w:rPr>
        <w:t xml:space="preserve">, </w:t>
      </w:r>
      <w:proofErr w:type="spellStart"/>
      <w:r w:rsidRPr="0065712F">
        <w:rPr>
          <w:rFonts w:eastAsiaTheme="majorEastAsia"/>
          <w:b/>
          <w:bCs/>
          <w:i/>
          <w:iCs/>
          <w:color w:val="000000"/>
          <w:lang w:val="en-US" w:eastAsia="id-ID"/>
        </w:rPr>
        <w:t>Agus</w:t>
      </w:r>
      <w:proofErr w:type="spellEnd"/>
      <w:r w:rsidRPr="0065712F">
        <w:rPr>
          <w:rFonts w:eastAsiaTheme="majorEastAsia"/>
          <w:b/>
          <w:bCs/>
          <w:i/>
          <w:iCs/>
          <w:color w:val="000000"/>
          <w:lang w:val="en-US" w:eastAsia="id-ID"/>
        </w:rPr>
        <w:t xml:space="preserve"> Susanta</w:t>
      </w:r>
      <w:r w:rsidRPr="0065712F">
        <w:rPr>
          <w:rFonts w:eastAsiaTheme="majorEastAsia"/>
          <w:b/>
          <w:bCs/>
          <w:i/>
          <w:iCs/>
          <w:color w:val="000000"/>
          <w:vertAlign w:val="superscript"/>
          <w:lang w:val="en-US" w:eastAsia="id-ID"/>
        </w:rPr>
        <w:t>4</w:t>
      </w:r>
      <w:r w:rsidRPr="0065712F">
        <w:rPr>
          <w:rFonts w:eastAsiaTheme="majorEastAsia"/>
          <w:b/>
          <w:bCs/>
          <w:i/>
          <w:iCs/>
          <w:color w:val="000000"/>
          <w:lang w:val="en-US" w:eastAsia="id-ID"/>
        </w:rPr>
        <w:t xml:space="preserve">, Nurul </w:t>
      </w:r>
      <w:proofErr w:type="spellStart"/>
      <w:r w:rsidRPr="0065712F">
        <w:rPr>
          <w:rFonts w:eastAsiaTheme="majorEastAsia"/>
          <w:b/>
          <w:bCs/>
          <w:i/>
          <w:iCs/>
          <w:color w:val="000000"/>
          <w:lang w:val="en-US" w:eastAsia="id-ID"/>
        </w:rPr>
        <w:t>Astuty</w:t>
      </w:r>
      <w:proofErr w:type="spellEnd"/>
      <w:r w:rsidRPr="0065712F">
        <w:rPr>
          <w:rFonts w:eastAsiaTheme="majorEastAsia"/>
          <w:b/>
          <w:bCs/>
          <w:i/>
          <w:iCs/>
          <w:color w:val="000000"/>
          <w:lang w:val="en-US" w:eastAsia="id-ID"/>
        </w:rPr>
        <w:t xml:space="preserve"> Yensy</w:t>
      </w:r>
      <w:r w:rsidRPr="0065712F">
        <w:rPr>
          <w:rFonts w:eastAsiaTheme="majorEastAsia"/>
          <w:b/>
          <w:bCs/>
          <w:i/>
          <w:iCs/>
          <w:color w:val="000000"/>
          <w:vertAlign w:val="superscript"/>
          <w:lang w:val="en-US" w:eastAsia="id-ID"/>
        </w:rPr>
        <w:t>5</w:t>
      </w:r>
    </w:p>
    <w:p w14:paraId="41988511" w14:textId="77777777" w:rsidR="0065712F" w:rsidRPr="0065712F" w:rsidRDefault="0065712F" w:rsidP="0065712F">
      <w:pPr>
        <w:contextualSpacing/>
        <w:jc w:val="center"/>
        <w:rPr>
          <w:i/>
          <w:iCs/>
          <w:sz w:val="22"/>
          <w:szCs w:val="22"/>
          <w:lang w:val="en-IN" w:eastAsia="en-IN"/>
        </w:rPr>
      </w:pPr>
      <w:r w:rsidRPr="0065712F">
        <w:rPr>
          <w:i/>
          <w:iCs/>
          <w:sz w:val="22"/>
          <w:szCs w:val="22"/>
          <w:vertAlign w:val="superscript"/>
          <w:lang w:val="en-IN" w:eastAsia="en-IN"/>
        </w:rPr>
        <w:t>1</w:t>
      </w:r>
      <w:r w:rsidRPr="0065712F">
        <w:rPr>
          <w:i/>
          <w:iCs/>
          <w:sz w:val="22"/>
          <w:szCs w:val="22"/>
          <w:lang w:val="en-IN" w:eastAsia="en-IN"/>
        </w:rPr>
        <w:t xml:space="preserve"> Muhammadiyah University of Bengkulu, Bengkulu, Indonesia</w:t>
      </w:r>
    </w:p>
    <w:p w14:paraId="1335B944" w14:textId="77777777" w:rsidR="0065712F" w:rsidRPr="0065712F" w:rsidRDefault="0065712F" w:rsidP="0065712F">
      <w:pPr>
        <w:contextualSpacing/>
        <w:jc w:val="center"/>
        <w:rPr>
          <w:i/>
          <w:iCs/>
          <w:sz w:val="22"/>
          <w:szCs w:val="22"/>
          <w:lang w:val="en-IN" w:eastAsia="en-IN"/>
        </w:rPr>
      </w:pPr>
      <w:r w:rsidRPr="0065712F">
        <w:rPr>
          <w:i/>
          <w:iCs/>
          <w:sz w:val="22"/>
          <w:szCs w:val="22"/>
          <w:vertAlign w:val="superscript"/>
          <w:lang w:val="en-IN" w:eastAsia="en-IN"/>
        </w:rPr>
        <w:t>2</w:t>
      </w:r>
      <w:r w:rsidRPr="0065712F">
        <w:rPr>
          <w:i/>
          <w:iCs/>
          <w:sz w:val="22"/>
          <w:szCs w:val="22"/>
          <w:lang w:val="en-IN" w:eastAsia="en-IN"/>
        </w:rPr>
        <w:t xml:space="preserve"> University of Bengkulu, Bengkulu, Indonesia</w:t>
      </w:r>
    </w:p>
    <w:p w14:paraId="0F112240" w14:textId="77777777" w:rsidR="0065712F" w:rsidRPr="0065712F" w:rsidRDefault="0065712F" w:rsidP="0065712F">
      <w:pPr>
        <w:contextualSpacing/>
        <w:jc w:val="center"/>
        <w:rPr>
          <w:i/>
          <w:iCs/>
          <w:sz w:val="22"/>
          <w:szCs w:val="22"/>
          <w:lang w:val="en-IN" w:eastAsia="en-IN"/>
        </w:rPr>
      </w:pPr>
      <w:r w:rsidRPr="0065712F">
        <w:rPr>
          <w:i/>
          <w:iCs/>
          <w:sz w:val="22"/>
          <w:szCs w:val="22"/>
          <w:vertAlign w:val="superscript"/>
          <w:lang w:val="en-IN" w:eastAsia="en-IN"/>
        </w:rPr>
        <w:t>3</w:t>
      </w:r>
      <w:r w:rsidRPr="0065712F">
        <w:rPr>
          <w:i/>
          <w:iCs/>
          <w:sz w:val="22"/>
          <w:szCs w:val="22"/>
          <w:lang w:val="en-IN" w:eastAsia="en-IN"/>
        </w:rPr>
        <w:t xml:space="preserve">Muhammadiyah University of </w:t>
      </w:r>
      <w:proofErr w:type="spellStart"/>
      <w:r w:rsidRPr="0065712F">
        <w:rPr>
          <w:i/>
          <w:iCs/>
          <w:sz w:val="22"/>
          <w:szCs w:val="22"/>
          <w:lang w:val="en-IN" w:eastAsia="en-IN"/>
        </w:rPr>
        <w:t>Sampit</w:t>
      </w:r>
      <w:proofErr w:type="spellEnd"/>
      <w:r w:rsidRPr="0065712F">
        <w:rPr>
          <w:i/>
          <w:iCs/>
          <w:sz w:val="22"/>
          <w:szCs w:val="22"/>
          <w:lang w:val="en-IN" w:eastAsia="en-IN"/>
        </w:rPr>
        <w:t xml:space="preserve">, </w:t>
      </w:r>
      <w:proofErr w:type="spellStart"/>
      <w:r w:rsidRPr="0065712F">
        <w:rPr>
          <w:i/>
          <w:iCs/>
          <w:sz w:val="22"/>
          <w:szCs w:val="22"/>
          <w:lang w:val="en-IN" w:eastAsia="en-IN"/>
        </w:rPr>
        <w:t>Palangkaraya</w:t>
      </w:r>
      <w:proofErr w:type="spellEnd"/>
      <w:r w:rsidRPr="0065712F">
        <w:rPr>
          <w:i/>
          <w:iCs/>
          <w:sz w:val="22"/>
          <w:szCs w:val="22"/>
          <w:lang w:val="en-IN" w:eastAsia="en-IN"/>
        </w:rPr>
        <w:t>, Indonesia</w:t>
      </w:r>
    </w:p>
    <w:p w14:paraId="1F5B9BBD" w14:textId="77777777" w:rsidR="0065712F" w:rsidRPr="0065712F" w:rsidRDefault="0065712F" w:rsidP="0065712F">
      <w:pPr>
        <w:contextualSpacing/>
        <w:jc w:val="center"/>
        <w:rPr>
          <w:i/>
          <w:iCs/>
          <w:sz w:val="22"/>
          <w:szCs w:val="22"/>
          <w:lang w:val="en-IN" w:eastAsia="en-IN"/>
        </w:rPr>
      </w:pPr>
      <w:r w:rsidRPr="0065712F">
        <w:rPr>
          <w:i/>
          <w:iCs/>
          <w:sz w:val="22"/>
          <w:szCs w:val="22"/>
          <w:vertAlign w:val="superscript"/>
          <w:lang w:val="en-IN" w:eastAsia="en-IN"/>
        </w:rPr>
        <w:t>4</w:t>
      </w:r>
      <w:r w:rsidRPr="0065712F">
        <w:rPr>
          <w:i/>
          <w:iCs/>
          <w:sz w:val="22"/>
          <w:szCs w:val="22"/>
          <w:lang w:val="en-IN" w:eastAsia="en-IN"/>
        </w:rPr>
        <w:t>University of Bengkulu, Bengkulu, Indonesia</w:t>
      </w:r>
    </w:p>
    <w:p w14:paraId="187254C4" w14:textId="77777777" w:rsidR="0065712F" w:rsidRPr="0065712F" w:rsidRDefault="0065712F" w:rsidP="0065712F">
      <w:pPr>
        <w:contextualSpacing/>
        <w:jc w:val="center"/>
        <w:rPr>
          <w:i/>
          <w:iCs/>
          <w:sz w:val="22"/>
          <w:szCs w:val="22"/>
          <w:lang w:val="en-IN" w:eastAsia="en-IN"/>
        </w:rPr>
      </w:pPr>
      <w:r w:rsidRPr="0065712F">
        <w:rPr>
          <w:i/>
          <w:iCs/>
          <w:sz w:val="22"/>
          <w:szCs w:val="22"/>
          <w:vertAlign w:val="superscript"/>
          <w:lang w:val="en-IN" w:eastAsia="en-IN"/>
        </w:rPr>
        <w:t>5</w:t>
      </w:r>
      <w:r w:rsidRPr="0065712F">
        <w:rPr>
          <w:i/>
          <w:iCs/>
          <w:sz w:val="22"/>
          <w:szCs w:val="22"/>
          <w:lang w:val="en-IN" w:eastAsia="en-IN"/>
        </w:rPr>
        <w:t xml:space="preserve">University of Bengkulu, Indonesia </w:t>
      </w:r>
    </w:p>
    <w:p w14:paraId="1C841CAC" w14:textId="77777777" w:rsidR="0065712F" w:rsidRDefault="0065712F" w:rsidP="0065712F">
      <w:pPr>
        <w:jc w:val="center"/>
        <w:rPr>
          <w:i/>
          <w:iCs/>
          <w:sz w:val="20"/>
          <w:szCs w:val="20"/>
          <w:lang w:val="en-IN" w:eastAsia="en-IN"/>
        </w:rPr>
      </w:pPr>
      <w:r w:rsidRPr="0065712F">
        <w:rPr>
          <w:i/>
          <w:iCs/>
          <w:sz w:val="20"/>
          <w:szCs w:val="20"/>
          <w:lang w:val="en-IN" w:eastAsia="en-IN"/>
        </w:rPr>
        <w:t>*Correspondent Email: desventri2014@gmail.com</w:t>
      </w:r>
    </w:p>
    <w:p w14:paraId="7E70A112" w14:textId="77777777" w:rsidR="0065712F" w:rsidRPr="0065712F" w:rsidRDefault="0065712F" w:rsidP="0065712F">
      <w:pPr>
        <w:rPr>
          <w:sz w:val="20"/>
          <w:szCs w:val="20"/>
        </w:rPr>
      </w:pPr>
    </w:p>
    <w:tbl>
      <w:tblPr>
        <w:tblStyle w:val="PlainTable2"/>
        <w:tblW w:w="9013" w:type="dxa"/>
        <w:tblLook w:val="04A0" w:firstRow="1" w:lastRow="0" w:firstColumn="1" w:lastColumn="0" w:noHBand="0" w:noVBand="1"/>
      </w:tblPr>
      <w:tblGrid>
        <w:gridCol w:w="9013"/>
      </w:tblGrid>
      <w:tr w:rsidR="008045CB" w:rsidRPr="000268F0" w14:paraId="0D354A10" w14:textId="77777777" w:rsidTr="00A23F1C">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013" w:type="dxa"/>
          </w:tcPr>
          <w:p w14:paraId="5F2E45B6" w14:textId="0BF48883" w:rsidR="008045CB" w:rsidRPr="00A23F1C" w:rsidRDefault="0065712F" w:rsidP="00521ED0">
            <w:pPr>
              <w:spacing w:before="120"/>
              <w:jc w:val="center"/>
              <w:rPr>
                <w:color w:val="000000"/>
                <w:sz w:val="20"/>
                <w:szCs w:val="20"/>
              </w:rPr>
            </w:pPr>
            <w:r>
              <w:rPr>
                <w:i/>
                <w:iCs/>
                <w:sz w:val="20"/>
                <w:szCs w:val="20"/>
                <w:lang w:val="en-IN" w:eastAsia="en-IN"/>
              </w:rPr>
              <w:t>ABS</w:t>
            </w:r>
            <w:r w:rsidR="008045CB" w:rsidRPr="00A23F1C">
              <w:rPr>
                <w:iCs/>
                <w:color w:val="000000"/>
                <w:sz w:val="20"/>
                <w:szCs w:val="20"/>
              </w:rPr>
              <w:t>TRACT</w:t>
            </w:r>
          </w:p>
        </w:tc>
      </w:tr>
      <w:tr w:rsidR="008045CB" w:rsidRPr="000268F0" w14:paraId="45966762" w14:textId="77777777" w:rsidTr="00A23F1C">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9013" w:type="dxa"/>
            <w:vMerge w:val="restart"/>
          </w:tcPr>
          <w:p w14:paraId="708882B8" w14:textId="26659BF3" w:rsidR="00EC0FED" w:rsidRPr="00EC0FED" w:rsidRDefault="00EC0FED" w:rsidP="00F3483B">
            <w:pPr>
              <w:spacing w:before="120" w:after="240"/>
              <w:contextualSpacing/>
              <w:jc w:val="both"/>
              <w:rPr>
                <w:b w:val="0"/>
                <w:bCs w:val="0"/>
                <w:i/>
                <w:iCs/>
                <w:sz w:val="20"/>
                <w:szCs w:val="20"/>
                <w:lang w:val="id-ID"/>
              </w:rPr>
            </w:pPr>
            <w:r w:rsidRPr="00EC0FED">
              <w:rPr>
                <w:b w:val="0"/>
                <w:bCs w:val="0"/>
                <w:sz w:val="20"/>
                <w:szCs w:val="20"/>
              </w:rPr>
              <w:t xml:space="preserve">This study aims to describe students’ mathematical reasoning processes within the framework of Realistic Mathematics Education (RME), particularly focusing on how learners develop proportional and logical reasoning through contextual tasks. Using a qualitative case study design, the research involved classroom observations, task-based interviews, and analysis of students’ written work collected from two purposively selected university students. Data were examined through thematic analysis to identify patterns of reasoning related to multiplicative strategies, symbolic manipulation, and the use of contextual or visual representations. The findings indicate that both students demonstrated strong procedural and symbolic proficiency, especially in applying logical laws and performing formal transformations; Student A showed consistent vertical mathematization, while Student B provided partial conceptual explanations but lacked systematic justification. However, neither student exhibited meaningful horizontal mathematization, contextual interpretation, nor the use of emergent </w:t>
            </w:r>
            <w:proofErr w:type="gramStart"/>
            <w:r w:rsidRPr="00EC0FED">
              <w:rPr>
                <w:b w:val="0"/>
                <w:bCs w:val="0"/>
                <w:sz w:val="20"/>
                <w:szCs w:val="20"/>
              </w:rPr>
              <w:t>models</w:t>
            </w:r>
            <w:proofErr w:type="gramEnd"/>
            <w:r w:rsidRPr="00EC0FED">
              <w:rPr>
                <w:b w:val="0"/>
                <w:bCs w:val="0"/>
                <w:sz w:val="20"/>
                <w:szCs w:val="20"/>
              </w:rPr>
              <w:t xml:space="preserve"> characteristic of RME-based learning. Their reasoning predominantly reflected imitative-procedural approaches rather than creative or relational reasoning, suggesting that their learning experiences did not sufficiently support guided reinvention or conceptual development through realistic contexts. These results highlight the need for instructional designs that integrate contextual tasks, visual models, and scaffolding aligned with RME principles to foster deeper conceptual understanding and more flexible reasoning.</w:t>
            </w:r>
          </w:p>
          <w:p w14:paraId="2922E025" w14:textId="77777777" w:rsidR="00EC0FED" w:rsidRDefault="00EC0FED" w:rsidP="008045CB">
            <w:pPr>
              <w:jc w:val="both"/>
              <w:rPr>
                <w:i/>
                <w:sz w:val="20"/>
                <w:szCs w:val="20"/>
                <w:lang w:val="en-US"/>
              </w:rPr>
            </w:pPr>
          </w:p>
          <w:p w14:paraId="02104792" w14:textId="4772D335" w:rsidR="008045CB" w:rsidRPr="00EC0FED" w:rsidRDefault="00EC0FED" w:rsidP="008045CB">
            <w:pPr>
              <w:jc w:val="both"/>
              <w:rPr>
                <w:b w:val="0"/>
                <w:bCs w:val="0"/>
                <w:i/>
                <w:iCs/>
                <w:sz w:val="20"/>
                <w:szCs w:val="20"/>
              </w:rPr>
            </w:pPr>
            <w:proofErr w:type="gramStart"/>
            <w:r>
              <w:rPr>
                <w:b w:val="0"/>
                <w:bCs w:val="0"/>
                <w:i/>
                <w:iCs/>
                <w:sz w:val="20"/>
                <w:szCs w:val="20"/>
              </w:rPr>
              <w:t>Keyword :</w:t>
            </w:r>
            <w:proofErr w:type="gramEnd"/>
            <w:r>
              <w:rPr>
                <w:b w:val="0"/>
                <w:bCs w:val="0"/>
                <w:i/>
                <w:iCs/>
                <w:sz w:val="20"/>
                <w:szCs w:val="20"/>
              </w:rPr>
              <w:t xml:space="preserve"> </w:t>
            </w:r>
            <w:r w:rsidRPr="00EC0FED">
              <w:rPr>
                <w:b w:val="0"/>
                <w:bCs w:val="0"/>
                <w:i/>
                <w:iCs/>
                <w:sz w:val="20"/>
                <w:szCs w:val="20"/>
              </w:rPr>
              <w:t>Proportional Reasoning; Realistic Mathematics Education (RME); Mathematical Reasoning.</w:t>
            </w:r>
          </w:p>
        </w:tc>
      </w:tr>
      <w:tr w:rsidR="008045CB" w:rsidRPr="000268F0" w14:paraId="50D8F3D5" w14:textId="77777777" w:rsidTr="00A23F1C">
        <w:trPr>
          <w:trHeight w:val="644"/>
        </w:trPr>
        <w:tc>
          <w:tcPr>
            <w:cnfStyle w:val="001000000000" w:firstRow="0" w:lastRow="0" w:firstColumn="1" w:lastColumn="0" w:oddVBand="0" w:evenVBand="0" w:oddHBand="0" w:evenHBand="0" w:firstRowFirstColumn="0" w:firstRowLastColumn="0" w:lastRowFirstColumn="0" w:lastRowLastColumn="0"/>
            <w:tcW w:w="9013" w:type="dxa"/>
            <w:vMerge/>
          </w:tcPr>
          <w:p w14:paraId="55CDBD03" w14:textId="77777777" w:rsidR="008045CB" w:rsidRPr="00A23F1C" w:rsidRDefault="008045CB" w:rsidP="00E03F00">
            <w:pPr>
              <w:spacing w:before="120"/>
              <w:jc w:val="both"/>
              <w:rPr>
                <w:b w:val="0"/>
                <w:bCs w:val="0"/>
                <w:iCs/>
                <w:color w:val="000000"/>
                <w:sz w:val="20"/>
                <w:szCs w:val="20"/>
              </w:rPr>
            </w:pPr>
          </w:p>
        </w:tc>
      </w:tr>
      <w:tr w:rsidR="008045CB" w:rsidRPr="000268F0" w14:paraId="790EDD0C" w14:textId="77777777" w:rsidTr="00A23F1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013" w:type="dxa"/>
          </w:tcPr>
          <w:p w14:paraId="63F3B82F" w14:textId="77777777" w:rsidR="008045CB" w:rsidRPr="00A23F1C" w:rsidRDefault="008045CB" w:rsidP="000D5B9A">
            <w:pPr>
              <w:jc w:val="center"/>
              <w:rPr>
                <w:sz w:val="20"/>
                <w:szCs w:val="20"/>
              </w:rPr>
            </w:pPr>
            <w:r w:rsidRPr="00A23F1C">
              <w:rPr>
                <w:sz w:val="20"/>
                <w:szCs w:val="20"/>
              </w:rPr>
              <w:t>Article History:</w:t>
            </w:r>
          </w:p>
          <w:p w14:paraId="7007DF4F" w14:textId="51E0AC30" w:rsidR="008045CB" w:rsidRPr="00A23F1C" w:rsidRDefault="008045CB" w:rsidP="000D5B9A">
            <w:pPr>
              <w:jc w:val="center"/>
              <w:rPr>
                <w:b w:val="0"/>
                <w:bCs w:val="0"/>
                <w:sz w:val="20"/>
                <w:szCs w:val="20"/>
              </w:rPr>
            </w:pPr>
            <w:r w:rsidRPr="00A23F1C">
              <w:rPr>
                <w:b w:val="0"/>
                <w:bCs w:val="0"/>
                <w:sz w:val="20"/>
                <w:szCs w:val="20"/>
              </w:rPr>
              <w:t xml:space="preserve">Received, </w:t>
            </w:r>
            <w:r w:rsidR="00B67CA7">
              <w:rPr>
                <w:b w:val="0"/>
                <w:bCs w:val="0"/>
                <w:sz w:val="20"/>
                <w:szCs w:val="20"/>
              </w:rPr>
              <w:t>May 2025</w:t>
            </w:r>
            <w:r w:rsidRPr="00A23F1C">
              <w:rPr>
                <w:b w:val="0"/>
                <w:bCs w:val="0"/>
                <w:sz w:val="20"/>
                <w:szCs w:val="20"/>
              </w:rPr>
              <w:t xml:space="preserve">; Revised, </w:t>
            </w:r>
            <w:r w:rsidR="00B67CA7">
              <w:rPr>
                <w:b w:val="0"/>
                <w:bCs w:val="0"/>
                <w:sz w:val="20"/>
                <w:szCs w:val="20"/>
              </w:rPr>
              <w:t>May 2025</w:t>
            </w:r>
            <w:r w:rsidRPr="00A23F1C">
              <w:rPr>
                <w:b w:val="0"/>
                <w:bCs w:val="0"/>
                <w:sz w:val="20"/>
                <w:szCs w:val="20"/>
              </w:rPr>
              <w:t xml:space="preserve">; Accepted, </w:t>
            </w:r>
            <w:r w:rsidR="00B67CA7">
              <w:rPr>
                <w:b w:val="0"/>
                <w:bCs w:val="0"/>
                <w:sz w:val="20"/>
                <w:szCs w:val="20"/>
              </w:rPr>
              <w:t>June 2025</w:t>
            </w:r>
            <w:r w:rsidRPr="00A23F1C">
              <w:rPr>
                <w:b w:val="0"/>
                <w:bCs w:val="0"/>
                <w:sz w:val="20"/>
                <w:szCs w:val="20"/>
              </w:rPr>
              <w:t>.</w:t>
            </w:r>
          </w:p>
        </w:tc>
      </w:tr>
    </w:tbl>
    <w:p w14:paraId="7FDD39AE" w14:textId="77777777" w:rsidR="00F66CC2" w:rsidRPr="000268F0" w:rsidRDefault="00F66CC2" w:rsidP="00F66CC2">
      <w:pPr>
        <w:pStyle w:val="PARAGRAPHnoindent"/>
        <w:spacing w:line="240" w:lineRule="auto"/>
        <w:jc w:val="center"/>
        <w:rPr>
          <w:rFonts w:ascii="Times New Roman" w:hAnsi="Times New Roman"/>
          <w:color w:val="000000"/>
          <w:sz w:val="14"/>
          <w:szCs w:val="14"/>
        </w:rPr>
      </w:pPr>
    </w:p>
    <w:p w14:paraId="0DE4084F" w14:textId="77777777" w:rsidR="00B3521D" w:rsidRPr="000268F0" w:rsidRDefault="00B3521D" w:rsidP="00B3521D">
      <w:pPr>
        <w:rPr>
          <w:sz w:val="14"/>
          <w:lang w:val="en-US" w:eastAsia="en-US"/>
        </w:rPr>
      </w:pPr>
    </w:p>
    <w:p w14:paraId="7E321508" w14:textId="001F09CA" w:rsidR="00580E6E" w:rsidRDefault="00580E6E" w:rsidP="00AD1A12">
      <w:pPr>
        <w:pStyle w:val="IEEEParagraph"/>
        <w:spacing w:line="23" w:lineRule="atLeast"/>
        <w:ind w:firstLine="0"/>
        <w:jc w:val="center"/>
        <w:rPr>
          <w:rStyle w:val="longtext"/>
          <w:shd w:val="clear" w:color="auto" w:fill="FFFFFF"/>
        </w:rPr>
      </w:pPr>
      <w:r>
        <w:rPr>
          <w:b/>
          <w:bCs/>
          <w:sz w:val="28"/>
          <w:szCs w:val="28"/>
        </w:rPr>
        <w:t xml:space="preserve">1. </w:t>
      </w:r>
      <w:r w:rsidRPr="00AE7651">
        <w:rPr>
          <w:b/>
          <w:bCs/>
          <w:sz w:val="28"/>
          <w:szCs w:val="28"/>
        </w:rPr>
        <w:t xml:space="preserve">Introduction </w:t>
      </w:r>
    </w:p>
    <w:p w14:paraId="12E1AAF5" w14:textId="77777777" w:rsidR="00E332EA" w:rsidRPr="003B28D2" w:rsidRDefault="00E332EA" w:rsidP="00E332EA">
      <w:pPr>
        <w:spacing w:line="276" w:lineRule="auto"/>
        <w:ind w:firstLine="720"/>
        <w:jc w:val="both"/>
      </w:pPr>
      <w:bookmarkStart w:id="0" w:name="_Hlk216280997"/>
      <w:r w:rsidRPr="003B28D2">
        <w:t xml:space="preserve">Proportional reasoning is widely recognized as one of the core foundations of mathematical literacy, supporting learning in algebra, geometry, measurement, probability, and scientific inquiry (Lamon, 2020; Hilton et al., 2021). According to </w:t>
      </w:r>
      <w:proofErr w:type="spellStart"/>
      <w:r w:rsidRPr="003B28D2">
        <w:t>Tourniaire</w:t>
      </w:r>
      <w:proofErr w:type="spellEnd"/>
      <w:r w:rsidRPr="003B28D2">
        <w:t xml:space="preserve"> and </w:t>
      </w:r>
      <w:proofErr w:type="spellStart"/>
      <w:r w:rsidRPr="003B28D2">
        <w:t>Pulos</w:t>
      </w:r>
      <w:proofErr w:type="spellEnd"/>
      <w:r w:rsidRPr="003B28D2">
        <w:t xml:space="preserve"> (1985), proportional reasoning involves the ability to conceptualize multiplicative relationships between quantities and to identify invariant ratios across various contexts. Recent studies reaffirm that proportional reasoning is not merely a computational skill but a cognitive process that requires recognizing multiplicative structures rather than additive patterns (</w:t>
      </w:r>
      <w:proofErr w:type="spellStart"/>
      <w:r w:rsidRPr="003B28D2">
        <w:t>Degrande</w:t>
      </w:r>
      <w:proofErr w:type="spellEnd"/>
      <w:r w:rsidRPr="003B28D2">
        <w:t xml:space="preserve"> et al., 2019; </w:t>
      </w:r>
      <w:proofErr w:type="spellStart"/>
      <w:r w:rsidRPr="003B28D2">
        <w:t>Jeong</w:t>
      </w:r>
      <w:proofErr w:type="spellEnd"/>
      <w:r w:rsidRPr="003B28D2">
        <w:t xml:space="preserve"> et al., 2022). However, research consistently shows that many secondary students struggle with recognizing proportional relationships, often defaulting to additive reasoning and heuristic shortcuts (Fernández et al., 2021). These difficulties highlight the need for pedagogical approaches that situate proportional relationships in meaningful, realistic contexts that allow students to construct understanding gradually.</w:t>
      </w:r>
    </w:p>
    <w:p w14:paraId="76682A14" w14:textId="77777777" w:rsidR="00E332EA" w:rsidRPr="003B28D2" w:rsidRDefault="00E332EA" w:rsidP="00E332EA">
      <w:pPr>
        <w:spacing w:line="276" w:lineRule="auto"/>
        <w:ind w:firstLine="720"/>
        <w:jc w:val="both"/>
      </w:pPr>
      <w:r w:rsidRPr="003B28D2">
        <w:lastRenderedPageBreak/>
        <w:t xml:space="preserve">Numerous studies document systematic misconceptions in students’ proportional thinking. For example, students often compare differences instead of ratios, misinterpret scaling factors, or rely on naive linear models in nonlinear contexts (Fernández &amp; </w:t>
      </w:r>
      <w:proofErr w:type="spellStart"/>
      <w:r w:rsidRPr="003B28D2">
        <w:t>Llinares</w:t>
      </w:r>
      <w:proofErr w:type="spellEnd"/>
      <w:r w:rsidRPr="003B28D2">
        <w:t xml:space="preserve">, 2020; Van </w:t>
      </w:r>
      <w:proofErr w:type="spellStart"/>
      <w:r w:rsidRPr="003B28D2">
        <w:t>Dooren</w:t>
      </w:r>
      <w:proofErr w:type="spellEnd"/>
      <w:r w:rsidRPr="003B28D2">
        <w:t xml:space="preserve"> et al., 2018). Siegler et al. (2020) found that even high-achieving students frequently rely on additive strategies when confronted with unfamiliar problems, suggesting that procedural competence does not equate to conceptual understanding. Other research by Hilton et al. (2021) shows that students tend to overgeneralize proportional relationships, applying multiplicative reasoning in situations where proportionality does not hold. These misconceptions are deeply rooted in the absence of contextualized learning experiences that help students distinguish between proportional and non-proportional situations. Thus, an approach like Realistic Mathematics Education (RME), which emphasizes sense-making through contextual problems, becomes particularly relevant.</w:t>
      </w:r>
    </w:p>
    <w:p w14:paraId="1523407F" w14:textId="77777777" w:rsidR="00E332EA" w:rsidRPr="003B28D2" w:rsidRDefault="00E332EA" w:rsidP="00E332EA">
      <w:pPr>
        <w:spacing w:line="276" w:lineRule="auto"/>
        <w:ind w:firstLine="720"/>
        <w:jc w:val="both"/>
      </w:pPr>
      <w:r w:rsidRPr="003B28D2">
        <w:t xml:space="preserve">Realistic Mathematics Education, developed by </w:t>
      </w:r>
      <w:proofErr w:type="spellStart"/>
      <w:r w:rsidRPr="003B28D2">
        <w:t>Freudenthal</w:t>
      </w:r>
      <w:proofErr w:type="spellEnd"/>
      <w:r w:rsidRPr="003B28D2">
        <w:t xml:space="preserve"> and colleagues at the </w:t>
      </w:r>
      <w:proofErr w:type="spellStart"/>
      <w:r w:rsidRPr="003B28D2">
        <w:t>Freudenthal</w:t>
      </w:r>
      <w:proofErr w:type="spellEnd"/>
      <w:r w:rsidRPr="003B28D2">
        <w:t xml:space="preserve"> Institute, is built on the premise that mathematics should be experienced as a human activity rooted in reality (</w:t>
      </w:r>
      <w:proofErr w:type="spellStart"/>
      <w:r w:rsidRPr="003B28D2">
        <w:t>Gravemeijer</w:t>
      </w:r>
      <w:proofErr w:type="spellEnd"/>
      <w:r w:rsidRPr="003B28D2">
        <w:t xml:space="preserve"> &amp; </w:t>
      </w:r>
      <w:proofErr w:type="spellStart"/>
      <w:r w:rsidRPr="003B28D2">
        <w:t>Terwel</w:t>
      </w:r>
      <w:proofErr w:type="spellEnd"/>
      <w:r w:rsidRPr="003B28D2">
        <w:t>, 2000; Van den Heuvel-</w:t>
      </w:r>
      <w:proofErr w:type="spellStart"/>
      <w:r w:rsidRPr="003B28D2">
        <w:t>Panhuizen</w:t>
      </w:r>
      <w:proofErr w:type="spellEnd"/>
      <w:r w:rsidRPr="003B28D2">
        <w:t>, 2020). RME emphasizes guided reinvention, horizontal and vertical mathematization, emergent models, and the development of formal mathematics from informal contexts (Doorman et al., 2021). Recent empirical works (Shimada &amp; Becker, 2022; Wijaya et al., 2015) show that RME encourages students to use intuitive strategies as a starting point for building formal mathematical understanding. The approach prioritizes meaningful contexts, visual models, collaboration, and student-</w:t>
      </w:r>
      <w:proofErr w:type="spellStart"/>
      <w:r w:rsidRPr="003B28D2">
        <w:t>centered</w:t>
      </w:r>
      <w:proofErr w:type="spellEnd"/>
      <w:r w:rsidRPr="003B28D2">
        <w:t xml:space="preserve"> inquiry elements that support deeper reasoning processes, including proportional reasoning.</w:t>
      </w:r>
    </w:p>
    <w:p w14:paraId="046E0C1A" w14:textId="77777777" w:rsidR="00E332EA" w:rsidRPr="003B28D2" w:rsidRDefault="00E332EA" w:rsidP="00E332EA">
      <w:pPr>
        <w:spacing w:line="276" w:lineRule="auto"/>
        <w:ind w:firstLine="720"/>
        <w:jc w:val="both"/>
      </w:pPr>
      <w:r w:rsidRPr="003B28D2">
        <w:t>A growing body of research demonstrates that RME enhances students’ mathematical reasoning, including reasoning types such as imitative reasoning, creative reasoning, and structural reasoning (</w:t>
      </w:r>
      <w:proofErr w:type="spellStart"/>
      <w:r w:rsidRPr="003B28D2">
        <w:t>Lithner</w:t>
      </w:r>
      <w:proofErr w:type="spellEnd"/>
      <w:r w:rsidRPr="003B28D2">
        <w:t xml:space="preserve">, 2017; </w:t>
      </w:r>
      <w:proofErr w:type="spellStart"/>
      <w:r w:rsidRPr="003B28D2">
        <w:t>Boesen</w:t>
      </w:r>
      <w:proofErr w:type="spellEnd"/>
      <w:r w:rsidRPr="003B28D2">
        <w:t xml:space="preserve"> et al., 2021). Studies in Indonesia and the Netherlands indicate that RME-based instruction helps students shift from procedural mimicry toward more flexible, conceptual, and strategic reasoning (Wijaya, 2017; Putri &amp; </w:t>
      </w:r>
      <w:proofErr w:type="spellStart"/>
      <w:r w:rsidRPr="003B28D2">
        <w:t>Zulkardi</w:t>
      </w:r>
      <w:proofErr w:type="spellEnd"/>
      <w:r w:rsidRPr="003B28D2">
        <w:t xml:space="preserve">, 2020). Research by Sari and Putri (2021) demonstrates that when students engage in contextual tasks, their reasoning pathways become more transparent, enabling teachers to identify misconceptions early and scaffold more effectively. Hence, RME provides an instructional environment that supports proportional reasoning development through contextual </w:t>
      </w:r>
      <w:proofErr w:type="spellStart"/>
      <w:r w:rsidRPr="003B28D2">
        <w:t>modeling</w:t>
      </w:r>
      <w:proofErr w:type="spellEnd"/>
      <w:r w:rsidRPr="003B28D2">
        <w:t xml:space="preserve"> rather than rote computation.</w:t>
      </w:r>
    </w:p>
    <w:p w14:paraId="0CD2EB42" w14:textId="77777777" w:rsidR="00E332EA" w:rsidRPr="003B28D2" w:rsidRDefault="00E332EA" w:rsidP="00E332EA">
      <w:pPr>
        <w:spacing w:line="276" w:lineRule="auto"/>
        <w:ind w:firstLine="720"/>
        <w:jc w:val="both"/>
      </w:pPr>
      <w:r w:rsidRPr="003B28D2">
        <w:t xml:space="preserve">Contextual tasks play a central role in promoting students’ understanding of proportional relationships. According to Greer (2020), engaging learners in realistic contexts, such as distance-time problems, mixtures, recipes, and scaling situations allows them to mathematize naturally occurring proportional structures. A study by </w:t>
      </w:r>
      <w:proofErr w:type="spellStart"/>
      <w:r w:rsidRPr="003B28D2">
        <w:t>Jeong</w:t>
      </w:r>
      <w:proofErr w:type="spellEnd"/>
      <w:r w:rsidRPr="003B28D2">
        <w:t xml:space="preserve"> et al. (2022) found that when proportional reasoning is grounded in authentic tasks, students demonstrate significant gains in identifying invariance, scaling multiplicatively, and reasoning with ratios. Moreover, contextualized proportional tasks help students transition from intuitive judgment to structured reasoning, particularly when supported by visual models such as double number lines or ratio tables (Oliveira et al., 2023). These tools are closely aligned with RME’s use of emergent models, reflecting the power of visual representation in bridging informal and formal thinking.</w:t>
      </w:r>
    </w:p>
    <w:p w14:paraId="12980418" w14:textId="77777777" w:rsidR="00E332EA" w:rsidRPr="003B28D2" w:rsidRDefault="00E332EA" w:rsidP="00E332EA">
      <w:pPr>
        <w:spacing w:line="276" w:lineRule="auto"/>
        <w:ind w:firstLine="720"/>
        <w:jc w:val="both"/>
      </w:pPr>
      <w:r w:rsidRPr="003B28D2">
        <w:lastRenderedPageBreak/>
        <w:t>Representations such as ratio tables, bar models, and double number lines serve as intermediate models that support students’ transitions from informal strategies to more formal proportional reasoning (</w:t>
      </w:r>
      <w:proofErr w:type="spellStart"/>
      <w:r w:rsidRPr="003B28D2">
        <w:t>Gravemeijer</w:t>
      </w:r>
      <w:proofErr w:type="spellEnd"/>
      <w:r w:rsidRPr="003B28D2">
        <w:t xml:space="preserve"> &amp; Bakker, 2018; Van den Heuvel-</w:t>
      </w:r>
      <w:proofErr w:type="spellStart"/>
      <w:r w:rsidRPr="003B28D2">
        <w:t>Panhuizen</w:t>
      </w:r>
      <w:proofErr w:type="spellEnd"/>
      <w:r w:rsidRPr="003B28D2">
        <w:t xml:space="preserve">, 2020). Recent classroom-based studies (e.g., </w:t>
      </w:r>
      <w:proofErr w:type="spellStart"/>
      <w:r w:rsidRPr="003B28D2">
        <w:t>Degrande</w:t>
      </w:r>
      <w:proofErr w:type="spellEnd"/>
      <w:r w:rsidRPr="003B28D2">
        <w:t xml:space="preserve"> et al., 2019; </w:t>
      </w:r>
      <w:proofErr w:type="spellStart"/>
      <w:r w:rsidRPr="003B28D2">
        <w:t>Fonger</w:t>
      </w:r>
      <w:proofErr w:type="spellEnd"/>
      <w:r w:rsidRPr="003B28D2">
        <w:t xml:space="preserve"> et al., 2021) show that visual models are instrumental in helping students identify multiplicative relationships and recognize invariant ratios. According to Bakker et al. (2021), representations in RME are not merely instructional tools but conceptual bridges that allow students to reinvent mathematical ideas through progressive mathematization. When coupled with contextual tasks, these models empower learners to coordinate quantities, justify solutions, and reflect on their reasoning processes.</w:t>
      </w:r>
    </w:p>
    <w:p w14:paraId="6CE1BA46" w14:textId="77777777" w:rsidR="00E332EA" w:rsidRPr="003B28D2" w:rsidRDefault="00E332EA" w:rsidP="00E332EA">
      <w:pPr>
        <w:spacing w:line="276" w:lineRule="auto"/>
        <w:ind w:firstLine="720"/>
        <w:jc w:val="both"/>
      </w:pPr>
      <w:r w:rsidRPr="003B28D2">
        <w:t xml:space="preserve">Recent international studies indicate that RME-based interventions significantly improve students’ proportional reasoning compared to traditional instruction. For example, a quasi-experimental study by </w:t>
      </w:r>
      <w:proofErr w:type="spellStart"/>
      <w:r w:rsidRPr="003B28D2">
        <w:t>Wahyudi</w:t>
      </w:r>
      <w:proofErr w:type="spellEnd"/>
      <w:r w:rsidRPr="003B28D2">
        <w:t xml:space="preserve"> and </w:t>
      </w:r>
      <w:proofErr w:type="spellStart"/>
      <w:r w:rsidRPr="003B28D2">
        <w:t>Zulkardi</w:t>
      </w:r>
      <w:proofErr w:type="spellEnd"/>
      <w:r w:rsidRPr="003B28D2">
        <w:t xml:space="preserve"> (2020) found that students exposed to RME tasks showed greater improvement in multiplicative thinking and reasoning flexibility. Similarly, De Corte and </w:t>
      </w:r>
      <w:proofErr w:type="spellStart"/>
      <w:r w:rsidRPr="003B28D2">
        <w:t>Verschaffel</w:t>
      </w:r>
      <w:proofErr w:type="spellEnd"/>
      <w:r w:rsidRPr="003B28D2">
        <w:t xml:space="preserve"> (2019) reported that RME classrooms encourage students to adopt more relational strategies when solving proportional tasks. In Asian contexts, research by Putri et al. (2021) demonstrates that integrating local cultural contexts enhances students’ conceptual understanding and engagement. Together, these findings suggest that RME offers a promising pathway for developing robust proportional reasoning.</w:t>
      </w:r>
    </w:p>
    <w:p w14:paraId="2AB3FA0E" w14:textId="77777777" w:rsidR="00E332EA" w:rsidRPr="003B28D2" w:rsidRDefault="00E332EA" w:rsidP="00E332EA">
      <w:pPr>
        <w:spacing w:line="276" w:lineRule="auto"/>
        <w:ind w:firstLine="720"/>
        <w:jc w:val="both"/>
      </w:pPr>
      <w:r w:rsidRPr="003B28D2">
        <w:t xml:space="preserve">Despite the substantial evidence on the benefits of RME, relatively few studies employ in-depth qualitative approaches to </w:t>
      </w:r>
      <w:proofErr w:type="spellStart"/>
      <w:r w:rsidRPr="003B28D2">
        <w:t>analyze</w:t>
      </w:r>
      <w:proofErr w:type="spellEnd"/>
      <w:r w:rsidRPr="003B28D2">
        <w:t xml:space="preserve"> students’ reasoning trajectories in solving contextual proportional tasks. Most existing works rely on quantitative measures or focus on learning outcomes rather than process-oriented reasoning (Hilton et al., 2021; Fernández et al., 2021). There is a need for research that captures how students interpret contexts, make decisions, shift strategies, and negotiate meaning during problem-solving activities. Qualitative methods especially classroom observation, task-based interviews, and analysis of students’ written work offer a rich lens for uncovering these reasoning patterns. This research fills that gap by providing a detailed qualitative perspective on how students build proportional reasoning through contextual tasks framed in RME principles.</w:t>
      </w:r>
    </w:p>
    <w:bookmarkEnd w:id="0"/>
    <w:p w14:paraId="6DABA84B" w14:textId="77777777" w:rsidR="00310DCB" w:rsidRPr="000268F0" w:rsidRDefault="00310DCB" w:rsidP="006E3151">
      <w:pPr>
        <w:pStyle w:val="IEEEParagraph"/>
        <w:spacing w:line="276" w:lineRule="auto"/>
        <w:ind w:firstLine="0"/>
        <w:rPr>
          <w:lang w:val="en-US"/>
        </w:rPr>
      </w:pPr>
    </w:p>
    <w:p w14:paraId="15748CCE" w14:textId="09D0A083" w:rsidR="00580E6E" w:rsidRDefault="00580E6E" w:rsidP="00AD1A12">
      <w:pPr>
        <w:pStyle w:val="IEEEParagraph"/>
        <w:spacing w:line="276" w:lineRule="auto"/>
        <w:ind w:firstLine="0"/>
        <w:jc w:val="center"/>
        <w:rPr>
          <w:rStyle w:val="longtext"/>
          <w:shd w:val="clear" w:color="auto" w:fill="FFFFFF"/>
        </w:rPr>
      </w:pPr>
      <w:r>
        <w:rPr>
          <w:b/>
          <w:sz w:val="28"/>
          <w:szCs w:val="28"/>
        </w:rPr>
        <w:t xml:space="preserve">2. </w:t>
      </w:r>
      <w:r w:rsidRPr="00AE7651">
        <w:rPr>
          <w:b/>
          <w:sz w:val="28"/>
          <w:szCs w:val="28"/>
        </w:rPr>
        <w:t xml:space="preserve">Method </w:t>
      </w:r>
    </w:p>
    <w:p w14:paraId="2734D4ED" w14:textId="77777777" w:rsidR="00E332EA" w:rsidRPr="003B28D2" w:rsidRDefault="00E332EA" w:rsidP="00E332EA">
      <w:pPr>
        <w:spacing w:line="276" w:lineRule="auto"/>
        <w:jc w:val="both"/>
        <w:rPr>
          <w:b/>
          <w:bCs/>
          <w:i/>
          <w:iCs/>
        </w:rPr>
      </w:pPr>
      <w:r w:rsidRPr="003B28D2">
        <w:rPr>
          <w:b/>
          <w:bCs/>
          <w:i/>
          <w:iCs/>
        </w:rPr>
        <w:t>Research Design</w:t>
      </w:r>
    </w:p>
    <w:p w14:paraId="30D93F8C" w14:textId="77777777" w:rsidR="00E332EA" w:rsidRPr="003B28D2" w:rsidRDefault="00E332EA" w:rsidP="00E332EA">
      <w:pPr>
        <w:spacing w:line="276" w:lineRule="auto"/>
        <w:ind w:firstLine="720"/>
        <w:jc w:val="both"/>
      </w:pPr>
      <w:r w:rsidRPr="003B28D2">
        <w:t>This study employed a qualitative research design grounded in a case study approach</w:t>
      </w:r>
      <w:r>
        <w:t>,</w:t>
      </w:r>
      <w:r w:rsidRPr="003B28D2">
        <w:t xml:space="preserve"> allowing an in-depth examination of students’ proportional reasoning as it emerges through contextual tasks aligned with the principles of Realistic Mathematics Education (RME). A qualitative case study is appropriate because it aims to capture students’ natural reasoning processes, interpret their strategies, and document how meanings are constructed in authentic classroom settings (Creswell &amp; </w:t>
      </w:r>
      <w:proofErr w:type="spellStart"/>
      <w:r w:rsidRPr="003B28D2">
        <w:t>Poth</w:t>
      </w:r>
      <w:proofErr w:type="spellEnd"/>
      <w:r w:rsidRPr="003B28D2">
        <w:t xml:space="preserve">, 2018; Merriam &amp; </w:t>
      </w:r>
      <w:proofErr w:type="spellStart"/>
      <w:r w:rsidRPr="003B28D2">
        <w:t>Tisdell</w:t>
      </w:r>
      <w:proofErr w:type="spellEnd"/>
      <w:r w:rsidRPr="003B28D2">
        <w:t>, 2016). The case in this research is defined as a bounded system consisting of one mathematics classroom where RME-based proportional tasks were implemented over a series of lessons. This design facilitates a holistic, context-sensitive understanding of how students engage with proportional situations and how their reasoning evolves.</w:t>
      </w:r>
    </w:p>
    <w:p w14:paraId="1967A139" w14:textId="77777777" w:rsidR="00E332EA" w:rsidRPr="00122FA6" w:rsidRDefault="00E332EA" w:rsidP="00E332EA">
      <w:pPr>
        <w:spacing w:line="276" w:lineRule="auto"/>
        <w:ind w:firstLine="720"/>
        <w:jc w:val="both"/>
        <w:rPr>
          <w:lang w:val="en-US"/>
        </w:rPr>
      </w:pPr>
      <w:r w:rsidRPr="003B28D2">
        <w:lastRenderedPageBreak/>
        <w:t>In addition to the case study lens, this research also incorporates elements of naturalistic inquiry, emphasizing the observation of students in their natural learning environment without experimental manipulation (Lincoln &amp; Guba, 1985). The goal is to interpret students’ reasoning based on their lived experiences during learning activities. Such a naturalistic approach aligns well with the philosophical foundations of RME, which views mathematics as a human activity situated in meaningful contexts.</w:t>
      </w:r>
      <w:r>
        <w:rPr>
          <w:lang w:val="en-US"/>
        </w:rPr>
        <w:t xml:space="preserve"> </w:t>
      </w:r>
      <w:r>
        <w:t>In addition, according to (</w:t>
      </w:r>
      <w:proofErr w:type="spellStart"/>
      <w:r>
        <w:t>Fonger</w:t>
      </w:r>
      <w:proofErr w:type="spellEnd"/>
      <w:r>
        <w:t xml:space="preserve"> et al. 2021) proportional reasoning is very much needed for meaningful </w:t>
      </w:r>
      <w:proofErr w:type="spellStart"/>
      <w:r>
        <w:t>modeling</w:t>
      </w:r>
      <w:proofErr w:type="spellEnd"/>
      <w:r>
        <w:t xml:space="preserve"> to facilitate conceptual transitions that place emphasis on the systematic collection and analysis of visual models created by students during problem-solving. </w:t>
      </w:r>
    </w:p>
    <w:p w14:paraId="37A0C67F" w14:textId="77777777" w:rsidR="00E332EA" w:rsidRPr="003B28D2" w:rsidRDefault="00E332EA" w:rsidP="00E332EA">
      <w:pPr>
        <w:spacing w:line="276" w:lineRule="auto"/>
        <w:jc w:val="both"/>
        <w:rPr>
          <w:b/>
          <w:bCs/>
          <w:i/>
          <w:iCs/>
        </w:rPr>
      </w:pPr>
      <w:r w:rsidRPr="003B28D2">
        <w:rPr>
          <w:b/>
          <w:bCs/>
          <w:i/>
          <w:iCs/>
        </w:rPr>
        <w:t>2. Participants and Setting</w:t>
      </w:r>
    </w:p>
    <w:p w14:paraId="2DEBD838" w14:textId="77777777" w:rsidR="00E332EA" w:rsidRPr="003B28D2" w:rsidRDefault="00E332EA" w:rsidP="00E332EA">
      <w:pPr>
        <w:spacing w:line="276" w:lineRule="auto"/>
        <w:jc w:val="both"/>
      </w:pPr>
      <w:r w:rsidRPr="003B28D2">
        <w:t xml:space="preserve">The study involved </w:t>
      </w:r>
      <w:r>
        <w:t>two university students in the mathematics department (TMW &amp; R),</w:t>
      </w:r>
      <w:r w:rsidRPr="003B28D2">
        <w:t xml:space="preserve"> selected through purposive sampling, ensuring the inclusion of students with diverse levels of mathematical proficiency. Purposive selection is appropriate because RME research prioritizes the exploration of reasoning variations rather than statistical generalization (Patton, 2015). The participants were from a public junior high school implementing a curriculum that supports contextual and competence-based mathematics instruction.</w:t>
      </w:r>
      <w:r>
        <w:t xml:space="preserve"> </w:t>
      </w:r>
      <w:r w:rsidRPr="003B28D2">
        <w:t>The learning sessions took place in a regular mathematics classroom over 3–5 meetings, focusing on proportional reasoning topics such as scaling, ratio interpretation, mixture problems, and comparison of quantities. The lessons were designed collaboratively with the classroom teacher to ensure alignment with the national curriculum and RME principles (guided reinvention, contextual problem-solving, emergent models).</w:t>
      </w:r>
    </w:p>
    <w:p w14:paraId="4BD2AD44" w14:textId="77777777" w:rsidR="00E332EA" w:rsidRPr="003B28D2" w:rsidRDefault="00E332EA" w:rsidP="00E332EA">
      <w:pPr>
        <w:spacing w:line="276" w:lineRule="auto"/>
        <w:jc w:val="both"/>
        <w:rPr>
          <w:b/>
          <w:bCs/>
          <w:i/>
          <w:iCs/>
        </w:rPr>
      </w:pPr>
      <w:r w:rsidRPr="003B28D2">
        <w:rPr>
          <w:b/>
          <w:bCs/>
          <w:i/>
          <w:iCs/>
        </w:rPr>
        <w:t>3. Instruments and Data Sources</w:t>
      </w:r>
    </w:p>
    <w:p w14:paraId="6C4DEA22" w14:textId="77777777" w:rsidR="00E332EA" w:rsidRPr="003B28D2" w:rsidRDefault="00E332EA" w:rsidP="00E332EA">
      <w:pPr>
        <w:spacing w:line="276" w:lineRule="auto"/>
        <w:jc w:val="both"/>
      </w:pPr>
      <w:r w:rsidRPr="003B28D2">
        <w:t>Multiple qualitative data sources were used to triangulate findings and strengthen the validity of interpretations:</w:t>
      </w:r>
    </w:p>
    <w:p w14:paraId="041C11CB" w14:textId="77777777" w:rsidR="00E332EA" w:rsidRPr="003B28D2" w:rsidRDefault="00E332EA" w:rsidP="00E332EA">
      <w:pPr>
        <w:spacing w:line="276" w:lineRule="auto"/>
        <w:jc w:val="both"/>
      </w:pPr>
      <w:r w:rsidRPr="003B28D2">
        <w:t>1. Classroom Observations</w:t>
      </w:r>
    </w:p>
    <w:p w14:paraId="43E33A8A" w14:textId="77777777" w:rsidR="00E332EA" w:rsidRPr="003B28D2" w:rsidRDefault="00E332EA" w:rsidP="00E332EA">
      <w:pPr>
        <w:spacing w:line="276" w:lineRule="auto"/>
        <w:jc w:val="both"/>
      </w:pPr>
      <w:r w:rsidRPr="003B28D2">
        <w:t xml:space="preserve">Conducted using a semi-structured observation protocol focusing on students’ strategies, interactions, and reasoning patterns. Field notes recorded spontaneous reasoning </w:t>
      </w:r>
      <w:proofErr w:type="spellStart"/>
      <w:r w:rsidRPr="003B28D2">
        <w:t>behaviors</w:t>
      </w:r>
      <w:proofErr w:type="spellEnd"/>
      <w:r w:rsidRPr="003B28D2">
        <w:t>, misconceptions, and teacher scaffolding.</w:t>
      </w:r>
    </w:p>
    <w:p w14:paraId="7F4996E5" w14:textId="77777777" w:rsidR="00E332EA" w:rsidRPr="003B28D2" w:rsidRDefault="00E332EA" w:rsidP="00E332EA">
      <w:pPr>
        <w:spacing w:line="276" w:lineRule="auto"/>
        <w:jc w:val="both"/>
      </w:pPr>
      <w:r w:rsidRPr="003B28D2">
        <w:t>2. Task-Based Interviews</w:t>
      </w:r>
    </w:p>
    <w:p w14:paraId="452EDC6E" w14:textId="77777777" w:rsidR="00E332EA" w:rsidRPr="003B28D2" w:rsidRDefault="00E332EA" w:rsidP="00E332EA">
      <w:pPr>
        <w:spacing w:line="276" w:lineRule="auto"/>
        <w:jc w:val="both"/>
      </w:pPr>
      <w:r w:rsidRPr="003B28D2">
        <w:t>Conducted individually after the classroom activities. Students were asked to verbalize their thinking while solving proportional contextual tasks. Interviews were audio-recorded and transcribed verbatim.</w:t>
      </w:r>
    </w:p>
    <w:p w14:paraId="31CB50F0" w14:textId="77777777" w:rsidR="00E332EA" w:rsidRPr="003B28D2" w:rsidRDefault="00E332EA" w:rsidP="00E332EA">
      <w:pPr>
        <w:spacing w:line="276" w:lineRule="auto"/>
        <w:jc w:val="both"/>
      </w:pPr>
      <w:r w:rsidRPr="003B28D2">
        <w:t>3. Students’ Written Work</w:t>
      </w:r>
    </w:p>
    <w:p w14:paraId="5FECCD05" w14:textId="77777777" w:rsidR="00E332EA" w:rsidRPr="003B28D2" w:rsidRDefault="00E332EA" w:rsidP="00E332EA">
      <w:pPr>
        <w:spacing w:line="276" w:lineRule="auto"/>
        <w:jc w:val="both"/>
      </w:pPr>
      <w:r w:rsidRPr="003B28D2">
        <w:t xml:space="preserve">Worksheets, scratch notes, and RME-based task responses were collected. Written responses were </w:t>
      </w:r>
      <w:proofErr w:type="spellStart"/>
      <w:r w:rsidRPr="003B28D2">
        <w:t>analyzed</w:t>
      </w:r>
      <w:proofErr w:type="spellEnd"/>
      <w:r w:rsidRPr="003B28D2">
        <w:t xml:space="preserve"> for reasoning indicators such as use of multiplicative strategies, recognition of invariance, and representation forms.</w:t>
      </w:r>
    </w:p>
    <w:p w14:paraId="1A821DBF" w14:textId="77777777" w:rsidR="00E332EA" w:rsidRPr="003B28D2" w:rsidRDefault="00E332EA" w:rsidP="00E332EA">
      <w:pPr>
        <w:spacing w:line="276" w:lineRule="auto"/>
        <w:jc w:val="both"/>
      </w:pPr>
      <w:r w:rsidRPr="003B28D2">
        <w:t>4. Researcher Journal</w:t>
      </w:r>
    </w:p>
    <w:p w14:paraId="0CBBF591" w14:textId="77777777" w:rsidR="00E332EA" w:rsidRPr="003B28D2" w:rsidRDefault="00E332EA" w:rsidP="00E332EA">
      <w:pPr>
        <w:spacing w:line="276" w:lineRule="auto"/>
        <w:jc w:val="both"/>
      </w:pPr>
      <w:r w:rsidRPr="003B28D2">
        <w:t>Used to document methodological decisions, reflective notes, and theoretical memos during analysis. Using these varied sources enables a thorough understanding of the reasoning process and the development of a rich interpretive narrative.</w:t>
      </w:r>
    </w:p>
    <w:p w14:paraId="21C8729A" w14:textId="77777777" w:rsidR="00E332EA" w:rsidRPr="003B28D2" w:rsidRDefault="00E332EA" w:rsidP="00E332EA">
      <w:pPr>
        <w:spacing w:line="276" w:lineRule="auto"/>
        <w:jc w:val="both"/>
        <w:rPr>
          <w:b/>
          <w:bCs/>
          <w:i/>
          <w:iCs/>
        </w:rPr>
      </w:pPr>
      <w:r w:rsidRPr="003B28D2">
        <w:rPr>
          <w:b/>
          <w:bCs/>
          <w:i/>
          <w:iCs/>
        </w:rPr>
        <w:t>4. Data Collection Procedures</w:t>
      </w:r>
    </w:p>
    <w:p w14:paraId="21E136E5" w14:textId="77777777" w:rsidR="00E332EA" w:rsidRPr="003B28D2" w:rsidRDefault="00E332EA" w:rsidP="00E332EA">
      <w:pPr>
        <w:spacing w:line="276" w:lineRule="auto"/>
        <w:jc w:val="both"/>
      </w:pPr>
      <w:r w:rsidRPr="003B28D2">
        <w:t>Data collection followed four phases:</w:t>
      </w:r>
    </w:p>
    <w:p w14:paraId="5803A477" w14:textId="77777777" w:rsidR="00E332EA" w:rsidRPr="003B28D2" w:rsidRDefault="00E332EA" w:rsidP="00E332EA">
      <w:pPr>
        <w:spacing w:line="276" w:lineRule="auto"/>
        <w:jc w:val="both"/>
      </w:pPr>
      <w:r w:rsidRPr="003B28D2">
        <w:t>1. Lesson Implementation</w:t>
      </w:r>
    </w:p>
    <w:p w14:paraId="1EC948B1" w14:textId="77777777" w:rsidR="00E332EA" w:rsidRPr="003B28D2" w:rsidRDefault="00E332EA" w:rsidP="00E332EA">
      <w:pPr>
        <w:spacing w:line="276" w:lineRule="auto"/>
        <w:jc w:val="both"/>
      </w:pPr>
      <w:r w:rsidRPr="003B28D2">
        <w:lastRenderedPageBreak/>
        <w:t>The researcher collaborated with the teacher to deliver proportional RME tasks. Students engaged in group and individual problem-solving using real-world contexts.</w:t>
      </w:r>
    </w:p>
    <w:p w14:paraId="2AF67183" w14:textId="77777777" w:rsidR="00E332EA" w:rsidRPr="003B28D2" w:rsidRDefault="00E332EA" w:rsidP="00E332EA">
      <w:pPr>
        <w:spacing w:line="276" w:lineRule="auto"/>
        <w:jc w:val="both"/>
      </w:pPr>
      <w:r w:rsidRPr="003B28D2">
        <w:t>2. Observation and Documentation</w:t>
      </w:r>
    </w:p>
    <w:p w14:paraId="4B6D85CE" w14:textId="77777777" w:rsidR="00E332EA" w:rsidRPr="003B28D2" w:rsidRDefault="00E332EA" w:rsidP="00E332EA">
      <w:pPr>
        <w:spacing w:line="276" w:lineRule="auto"/>
        <w:jc w:val="both"/>
      </w:pPr>
      <w:r w:rsidRPr="003B28D2">
        <w:t>The researcher observed each session while taking field notes and capturing video/audio recordings.</w:t>
      </w:r>
    </w:p>
    <w:p w14:paraId="43B31A29" w14:textId="77777777" w:rsidR="00E332EA" w:rsidRPr="003B28D2" w:rsidRDefault="00E332EA" w:rsidP="00E332EA">
      <w:pPr>
        <w:spacing w:line="276" w:lineRule="auto"/>
        <w:jc w:val="both"/>
      </w:pPr>
      <w:r w:rsidRPr="003B28D2">
        <w:t>3. Task-Based Interviews</w:t>
      </w:r>
    </w:p>
    <w:p w14:paraId="48FF6711" w14:textId="77777777" w:rsidR="00E332EA" w:rsidRPr="003B28D2" w:rsidRDefault="00E332EA" w:rsidP="00E332EA">
      <w:pPr>
        <w:spacing w:line="276" w:lineRule="auto"/>
        <w:jc w:val="both"/>
      </w:pPr>
      <w:r w:rsidRPr="003B28D2">
        <w:t>Conducted after the teaching sequence to probe deeper into students’ reasoning strategies. Students were encouraged to explain “why” and “how” they made particular decisions.</w:t>
      </w:r>
    </w:p>
    <w:p w14:paraId="0921DEA8" w14:textId="77777777" w:rsidR="00E332EA" w:rsidRPr="003B28D2" w:rsidRDefault="00E332EA" w:rsidP="00E332EA">
      <w:pPr>
        <w:spacing w:line="276" w:lineRule="auto"/>
        <w:jc w:val="both"/>
      </w:pPr>
      <w:r w:rsidRPr="003B28D2">
        <w:t>4. Archiving Written Products</w:t>
      </w:r>
    </w:p>
    <w:p w14:paraId="73678096" w14:textId="77777777" w:rsidR="00E332EA" w:rsidRPr="003B28D2" w:rsidRDefault="00E332EA" w:rsidP="00E332EA">
      <w:pPr>
        <w:spacing w:line="276" w:lineRule="auto"/>
        <w:jc w:val="both"/>
      </w:pPr>
      <w:r w:rsidRPr="003B28D2">
        <w:t>All students’ written work was collected, scanned, and coded for systematic analysis. This process ensures that data are comprehensive, naturally occurring, and reflective of authentic reasoning.</w:t>
      </w:r>
    </w:p>
    <w:p w14:paraId="64BCE51D" w14:textId="77777777" w:rsidR="00E332EA" w:rsidRPr="003B28D2" w:rsidRDefault="00E332EA" w:rsidP="00E332EA">
      <w:pPr>
        <w:spacing w:line="276" w:lineRule="auto"/>
        <w:jc w:val="both"/>
        <w:rPr>
          <w:b/>
          <w:bCs/>
          <w:i/>
          <w:iCs/>
        </w:rPr>
      </w:pPr>
      <w:r w:rsidRPr="003B28D2">
        <w:rPr>
          <w:b/>
          <w:bCs/>
          <w:i/>
          <w:iCs/>
        </w:rPr>
        <w:t>5. Data Analysis</w:t>
      </w:r>
    </w:p>
    <w:p w14:paraId="3DAE75A8" w14:textId="77777777" w:rsidR="00E332EA" w:rsidRPr="003B28D2" w:rsidRDefault="00E332EA" w:rsidP="00E332EA">
      <w:pPr>
        <w:spacing w:line="276" w:lineRule="auto"/>
        <w:jc w:val="both"/>
      </w:pPr>
      <w:r w:rsidRPr="003B28D2">
        <w:t xml:space="preserve">Data analysis </w:t>
      </w:r>
      <w:proofErr w:type="gramStart"/>
      <w:r w:rsidRPr="003B28D2">
        <w:t>employed  Thematic</w:t>
      </w:r>
      <w:proofErr w:type="gramEnd"/>
      <w:r w:rsidRPr="003B28D2">
        <w:t xml:space="preserve"> Analysis following Braun and Clarke’s (2019) six-phase framework: (1) Familiarization with Data, Reading all transcripts, field notes, and written work repeatedly. (2) Generating Initial Codes, </w:t>
      </w:r>
      <w:proofErr w:type="gramStart"/>
      <w:r w:rsidRPr="003B28D2">
        <w:t>Identifying</w:t>
      </w:r>
      <w:proofErr w:type="gramEnd"/>
      <w:r w:rsidRPr="003B28D2">
        <w:t xml:space="preserve"> segments related to proportional reasoning indicators (e.g., additive vs. multiplicative strategies, models used). (3) Searching for Themes, Combining codes into broader themes such as “informal reasoning,” “recognition of invariance,” “emergent representations,” and “persistent misconceptions.” (4) Reviewing Themes, Refining themes for coherence across data sources. (5) Defining and Naming Themes, </w:t>
      </w:r>
      <w:proofErr w:type="gramStart"/>
      <w:r w:rsidRPr="003B28D2">
        <w:t>Producing</w:t>
      </w:r>
      <w:proofErr w:type="gramEnd"/>
      <w:r w:rsidRPr="003B28D2">
        <w:t xml:space="preserve"> clear theoretical definitions aligned with RME and reasoning literature. (6) Producing the </w:t>
      </w:r>
      <w:proofErr w:type="gramStart"/>
      <w:r w:rsidRPr="003B28D2">
        <w:t>Report,  Integrating</w:t>
      </w:r>
      <w:proofErr w:type="gramEnd"/>
      <w:r w:rsidRPr="003B28D2">
        <w:t xml:space="preserve"> findings with literature to present a coherent narrative. Additionally, students’ written strategies were categorized using frameworks such as: Additive vs. multiplicative comparison (Van </w:t>
      </w:r>
      <w:proofErr w:type="spellStart"/>
      <w:r w:rsidRPr="003B28D2">
        <w:t>Dooren</w:t>
      </w:r>
      <w:proofErr w:type="spellEnd"/>
      <w:r w:rsidRPr="003B28D2">
        <w:t xml:space="preserve"> et al., 2018), Intuitive, developing, and formal reasoning levels (Lamon, 2020). Models-of / models-for transitions in RME (</w:t>
      </w:r>
      <w:proofErr w:type="spellStart"/>
      <w:r w:rsidRPr="003B28D2">
        <w:t>Gravemeijer</w:t>
      </w:r>
      <w:proofErr w:type="spellEnd"/>
      <w:r w:rsidRPr="003B28D2">
        <w:t xml:space="preserve"> &amp; Bakker, 2018). Triangulation was conducted across observation, interview, and written data to validate interpretations.</w:t>
      </w:r>
    </w:p>
    <w:p w14:paraId="68E48BFD" w14:textId="77777777" w:rsidR="00E332EA" w:rsidRPr="003B28D2" w:rsidRDefault="00E332EA" w:rsidP="00E332EA">
      <w:pPr>
        <w:spacing w:line="276" w:lineRule="auto"/>
        <w:jc w:val="both"/>
        <w:rPr>
          <w:b/>
          <w:bCs/>
          <w:i/>
          <w:iCs/>
        </w:rPr>
      </w:pPr>
      <w:r w:rsidRPr="003B28D2">
        <w:rPr>
          <w:b/>
          <w:bCs/>
          <w:i/>
          <w:iCs/>
        </w:rPr>
        <w:t>6. Trustworthiness</w:t>
      </w:r>
    </w:p>
    <w:p w14:paraId="22DB6093" w14:textId="77777777" w:rsidR="00E332EA" w:rsidRPr="003B28D2" w:rsidRDefault="00E332EA" w:rsidP="00E332EA">
      <w:pPr>
        <w:spacing w:line="276" w:lineRule="auto"/>
        <w:jc w:val="both"/>
      </w:pPr>
      <w:r w:rsidRPr="003B28D2">
        <w:t>Strategies to ensure trustworthiness followed Lincoln and Guba (1985): (1) Credibility: Triangulation of three data sources; prolonged engagement in the classroom; member checking with students and the teacher. (2) Transferability: Thick description of the classroom setting, tasks, and reasoning episodes. (3) Dependability: Audit trail documenting coding procedures and analytic decisions. (4) Confirmability: Reflection logs to reduce researcher bias and maintain neutrality.</w:t>
      </w:r>
    </w:p>
    <w:p w14:paraId="55149DF3" w14:textId="77777777" w:rsidR="00E332EA" w:rsidRPr="003B28D2" w:rsidRDefault="00E332EA" w:rsidP="00E332EA">
      <w:pPr>
        <w:spacing w:line="276" w:lineRule="auto"/>
        <w:jc w:val="both"/>
        <w:rPr>
          <w:b/>
          <w:bCs/>
          <w:i/>
          <w:iCs/>
        </w:rPr>
      </w:pPr>
      <w:r w:rsidRPr="003B28D2">
        <w:rPr>
          <w:b/>
          <w:bCs/>
          <w:i/>
          <w:iCs/>
        </w:rPr>
        <w:t>7. Ethical Considerations</w:t>
      </w:r>
    </w:p>
    <w:p w14:paraId="12FC561C" w14:textId="77777777" w:rsidR="00E332EA" w:rsidRPr="003B28D2" w:rsidRDefault="00E332EA" w:rsidP="00E332EA">
      <w:pPr>
        <w:spacing w:line="276" w:lineRule="auto"/>
        <w:jc w:val="both"/>
      </w:pPr>
      <w:r w:rsidRPr="003B28D2">
        <w:t>Ethical protocols include informed consent from school authorities, assent from students, anonymity using pseudonyms, and secure storage of data. All classroom activities adhered to local regulations and school guidelines.</w:t>
      </w:r>
    </w:p>
    <w:p w14:paraId="327CB731" w14:textId="77777777" w:rsidR="004D6A8C" w:rsidRPr="000268F0" w:rsidRDefault="004D6A8C" w:rsidP="00E77E85">
      <w:pPr>
        <w:pStyle w:val="IEEEParagraph"/>
        <w:spacing w:line="23" w:lineRule="atLeast"/>
        <w:ind w:firstLine="360"/>
        <w:rPr>
          <w:lang w:val="sv-SE"/>
        </w:rPr>
      </w:pPr>
    </w:p>
    <w:p w14:paraId="3082E45B" w14:textId="54AE073F" w:rsidR="002202B7" w:rsidRPr="000268F0" w:rsidRDefault="00580E6E" w:rsidP="00AD1A12">
      <w:pPr>
        <w:pStyle w:val="IEEEFigure"/>
        <w:spacing w:line="276" w:lineRule="auto"/>
        <w:rPr>
          <w:b/>
          <w:shd w:val="clear" w:color="auto" w:fill="FFFFFF"/>
        </w:rPr>
      </w:pPr>
      <w:r>
        <w:rPr>
          <w:b/>
          <w:sz w:val="28"/>
          <w:szCs w:val="28"/>
        </w:rPr>
        <w:t xml:space="preserve">3. </w:t>
      </w:r>
      <w:r w:rsidRPr="00AE7651">
        <w:rPr>
          <w:b/>
          <w:sz w:val="28"/>
          <w:szCs w:val="28"/>
        </w:rPr>
        <w:t>Result</w:t>
      </w:r>
      <w:r>
        <w:rPr>
          <w:b/>
          <w:sz w:val="28"/>
          <w:szCs w:val="28"/>
        </w:rPr>
        <w:t xml:space="preserve"> and Discussion</w:t>
      </w:r>
      <w:r w:rsidRPr="00AE7651">
        <w:rPr>
          <w:b/>
          <w:sz w:val="28"/>
          <w:szCs w:val="28"/>
        </w:rPr>
        <w:t xml:space="preserve"> </w:t>
      </w:r>
    </w:p>
    <w:p w14:paraId="4FEB3384" w14:textId="77777777" w:rsidR="00E332EA" w:rsidRPr="00E332EA" w:rsidRDefault="00E332EA" w:rsidP="00E332EA">
      <w:pPr>
        <w:spacing w:line="276" w:lineRule="auto"/>
        <w:jc w:val="both"/>
        <w:rPr>
          <w:b/>
          <w:bCs/>
        </w:rPr>
      </w:pPr>
      <w:r w:rsidRPr="00E332EA">
        <w:rPr>
          <w:b/>
          <w:bCs/>
        </w:rPr>
        <w:t>RESULTS</w:t>
      </w:r>
    </w:p>
    <w:p w14:paraId="0D2439F4" w14:textId="77777777" w:rsidR="00E332EA" w:rsidRPr="003B28D2" w:rsidRDefault="00E332EA" w:rsidP="00E332EA">
      <w:pPr>
        <w:spacing w:line="276" w:lineRule="auto"/>
        <w:jc w:val="both"/>
      </w:pPr>
      <w:r w:rsidRPr="003B28D2">
        <w:lastRenderedPageBreak/>
        <w:t>This analysis is mapped to the Realistic Mathematics Education (RME) framework through the concepts of horizontal mathematization, vertical mathematization, emergent models, and guided reinvention.</w:t>
      </w:r>
    </w:p>
    <w:p w14:paraId="41D007CD" w14:textId="77777777" w:rsidR="00E332EA" w:rsidRPr="003B28D2" w:rsidRDefault="00E332EA" w:rsidP="00E332EA">
      <w:pPr>
        <w:pStyle w:val="ListParagraph"/>
        <w:numPr>
          <w:ilvl w:val="0"/>
          <w:numId w:val="16"/>
        </w:numPr>
        <w:spacing w:after="160" w:line="276" w:lineRule="auto"/>
        <w:ind w:left="450" w:hanging="450"/>
        <w:contextualSpacing/>
        <w:jc w:val="both"/>
      </w:pPr>
      <w:r w:rsidRPr="003B28D2">
        <w:t>Student Findings A (TMA)</w:t>
      </w:r>
    </w:p>
    <w:p w14:paraId="64C82C38" w14:textId="77777777" w:rsidR="00E332EA" w:rsidRPr="003B28D2" w:rsidRDefault="00E332EA" w:rsidP="00E332EA">
      <w:pPr>
        <w:spacing w:line="276" w:lineRule="auto"/>
        <w:jc w:val="both"/>
      </w:pPr>
      <w:proofErr w:type="gramStart"/>
      <w:r w:rsidRPr="003B28D2">
        <w:t xml:space="preserve">Student </w:t>
      </w:r>
      <w:r>
        <w:rPr>
          <w:lang w:val="en-US"/>
        </w:rPr>
        <w:t xml:space="preserve"> </w:t>
      </w:r>
      <w:r w:rsidRPr="003B28D2">
        <w:t>A</w:t>
      </w:r>
      <w:proofErr w:type="gramEnd"/>
      <w:r w:rsidRPr="003B28D2">
        <w:t xml:space="preserve"> shows a high ability in formal-procedural mastery through the application of logical laws such as De Morgan's Law, complement law, distributive law, and implicit transformation. This can be seen from the writing of tautological evidence that is presented sequentially, completely, and consistently. For example, in the proof of tautology (P </w:t>
      </w:r>
      <w:r w:rsidRPr="003B28D2">
        <w:rPr>
          <w:rFonts w:ascii="Cambria Math" w:hAnsi="Cambria Math" w:cs="Cambria Math"/>
        </w:rPr>
        <w:t>∧</w:t>
      </w:r>
      <w:r w:rsidRPr="003B28D2">
        <w:t xml:space="preserve"> Q) → (P </w:t>
      </w:r>
      <w:r w:rsidRPr="003B28D2">
        <w:rPr>
          <w:rFonts w:ascii="Cambria Math" w:hAnsi="Cambria Math" w:cs="Cambria Math"/>
        </w:rPr>
        <w:t>∨</w:t>
      </w:r>
      <w:r w:rsidRPr="003B28D2">
        <w:t xml:space="preserve"> Q), Students Write Transformations </w:t>
      </w:r>
      <w:r w:rsidRPr="003B28D2">
        <w:rPr>
          <w:b/>
          <w:bCs/>
        </w:rPr>
        <w:t>“</w:t>
      </w:r>
      <w:proofErr w:type="gramStart"/>
      <w:r w:rsidRPr="003B28D2">
        <w:rPr>
          <w:b/>
          <w:bCs/>
        </w:rPr>
        <w:t>¬(</w:t>
      </w:r>
      <w:proofErr w:type="gramEnd"/>
      <w:r w:rsidRPr="003B28D2">
        <w:rPr>
          <w:b/>
          <w:bCs/>
        </w:rPr>
        <w:t xml:space="preserve">P </w:t>
      </w:r>
      <w:r w:rsidRPr="003B28D2">
        <w:rPr>
          <w:rFonts w:ascii="Cambria Math" w:hAnsi="Cambria Math" w:cs="Cambria Math"/>
          <w:b/>
          <w:bCs/>
        </w:rPr>
        <w:t>∧</w:t>
      </w:r>
      <w:r w:rsidRPr="003B28D2">
        <w:rPr>
          <w:b/>
          <w:bCs/>
        </w:rPr>
        <w:t xml:space="preserve"> Q) = ¬P </w:t>
      </w:r>
      <w:r w:rsidRPr="003B28D2">
        <w:rPr>
          <w:rFonts w:ascii="Cambria Math" w:hAnsi="Cambria Math" w:cs="Cambria Math"/>
          <w:b/>
          <w:bCs/>
        </w:rPr>
        <w:t>∨</w:t>
      </w:r>
      <w:r w:rsidRPr="003B28D2">
        <w:rPr>
          <w:b/>
          <w:bCs/>
        </w:rPr>
        <w:t xml:space="preserve"> ¬Q”</w:t>
      </w:r>
      <w:r w:rsidRPr="003B28D2">
        <w:t xml:space="preserve"> as a first step to simplify the implications. Student A shows strong vertical mathematization, which is the ability to move from conceptual representation to formal symbol manipulation. However, no use of real contexts, diagrams, analogies, or graphical representations was </w:t>
      </w:r>
      <w:r>
        <w:t>commonly found</w:t>
      </w:r>
      <w:r w:rsidRPr="003B28D2">
        <w:t xml:space="preserve"> in the RME learning flow. This means that student A's reasoning is closer to the formalistic symbolic reasoning </w:t>
      </w:r>
      <w:proofErr w:type="gramStart"/>
      <w:r w:rsidRPr="003B28D2">
        <w:t>From</w:t>
      </w:r>
      <w:proofErr w:type="gramEnd"/>
      <w:r w:rsidRPr="003B28D2">
        <w:t xml:space="preserve"> model-based reasoning. Student A demonstrated a high level of procedural-formal mastery through the application of logical laws such as De Morgan's Law, the law of complement, the distributive law, and implication transformation. This can be seen from the writing of tautology proofs that are presented in a sequential, complete, and consistent manner. For example, in proving the tautology (P </w:t>
      </w:r>
      <w:r w:rsidRPr="003B28D2">
        <w:rPr>
          <w:rFonts w:ascii="Cambria Math" w:hAnsi="Cambria Math" w:cs="Cambria Math"/>
        </w:rPr>
        <w:t>∧</w:t>
      </w:r>
      <w:r w:rsidRPr="003B28D2">
        <w:t xml:space="preserve"> Q) → (P </w:t>
      </w:r>
      <w:r w:rsidRPr="003B28D2">
        <w:rPr>
          <w:rFonts w:ascii="Cambria Math" w:hAnsi="Cambria Math" w:cs="Cambria Math"/>
        </w:rPr>
        <w:t>∨</w:t>
      </w:r>
      <w:r w:rsidRPr="003B28D2">
        <w:t xml:space="preserve"> Q), the student wrote the transformation “</w:t>
      </w:r>
      <w:proofErr w:type="gramStart"/>
      <w:r w:rsidRPr="003B28D2">
        <w:t>¬(</w:t>
      </w:r>
      <w:proofErr w:type="gramEnd"/>
      <w:r w:rsidRPr="003B28D2">
        <w:t xml:space="preserve">P </w:t>
      </w:r>
      <w:r w:rsidRPr="003B28D2">
        <w:rPr>
          <w:rFonts w:ascii="Cambria Math" w:hAnsi="Cambria Math" w:cs="Cambria Math"/>
        </w:rPr>
        <w:t>∧</w:t>
      </w:r>
      <w:r w:rsidRPr="003B28D2">
        <w:t xml:space="preserve"> Q) = ¬P </w:t>
      </w:r>
      <w:r w:rsidRPr="003B28D2">
        <w:rPr>
          <w:rFonts w:ascii="Cambria Math" w:hAnsi="Cambria Math" w:cs="Cambria Math"/>
        </w:rPr>
        <w:t>∨</w:t>
      </w:r>
      <w:r w:rsidRPr="003B28D2">
        <w:t xml:space="preserve"> ¬Q” as the first step to simplify the implication.  Student A demonstrates strong vertical mathematization, which is the ability to move from conceptual representation to formal symbolic manipulation. However, there is no use of real-world contexts, diagrams, analogies, or graphic representations commonly used in RME learning. This means that Student A's reasoning is closer to formalistic symbolic reasoning than model-based reasoning. In the section on set theory, Student A provided arguments using the definition of membership, for example</w:t>
      </w:r>
      <w:r>
        <w:t>,</w:t>
      </w:r>
      <w:r w:rsidRPr="003B28D2">
        <w:t xml:space="preserve"> in proving the identity A </w:t>
      </w:r>
      <w:r w:rsidRPr="003B28D2">
        <w:rPr>
          <w:rFonts w:ascii="Cambria Math" w:hAnsi="Cambria Math" w:cs="Cambria Math"/>
        </w:rPr>
        <w:t>∪</w:t>
      </w:r>
      <w:r w:rsidRPr="003B28D2">
        <w:t xml:space="preserve"> </w:t>
      </w:r>
      <w:r w:rsidRPr="003B28D2">
        <w:rPr>
          <w:rFonts w:ascii="Cambria Math" w:hAnsi="Cambria Math" w:cs="Cambria Math"/>
        </w:rPr>
        <w:t>∅</w:t>
      </w:r>
      <w:r w:rsidRPr="003B28D2">
        <w:t xml:space="preserve"> = A. Although correct, the arguments were written directly in formal language without situational illustrations or representative models (e.g., Venn diagrams). This indicates a dominance of formal reasoning and a lack of guided reinvention that should occur in RME-based learning.</w:t>
      </w:r>
    </w:p>
    <w:p w14:paraId="6E555DFF" w14:textId="77777777" w:rsidR="00E332EA" w:rsidRPr="003B28D2" w:rsidRDefault="00E332EA" w:rsidP="00E332EA">
      <w:pPr>
        <w:pStyle w:val="ListParagraph"/>
        <w:numPr>
          <w:ilvl w:val="0"/>
          <w:numId w:val="17"/>
        </w:numPr>
        <w:spacing w:after="160" w:line="276" w:lineRule="auto"/>
        <w:contextualSpacing/>
        <w:jc w:val="both"/>
      </w:pPr>
      <w:r w:rsidRPr="003B28D2">
        <w:t>Student Findings B (R)</w:t>
      </w:r>
    </w:p>
    <w:p w14:paraId="5C03F0ED" w14:textId="77777777" w:rsidR="00E332EA" w:rsidRPr="003B28D2" w:rsidRDefault="00E332EA" w:rsidP="00E332EA">
      <w:pPr>
        <w:spacing w:line="276" w:lineRule="auto"/>
        <w:jc w:val="both"/>
      </w:pPr>
      <w:r w:rsidRPr="003B28D2">
        <w:t xml:space="preserve">Student B showed a different reasoning profile. Although able to solve problems correctly, the student's explanations often jumped around or did not provide complete justifications. For example, in the tautology proof, the student wrote down the results of the implication transformation without showing the formal reasoning behind each step.  Nevertheless, Student B began to use verbal explanations in some parts, especially those related to set identities. For example, the explanation “because the element is in A or in </w:t>
      </w:r>
      <w:r w:rsidRPr="003B28D2">
        <w:rPr>
          <w:rFonts w:ascii="Cambria Math" w:hAnsi="Cambria Math" w:cs="Cambria Math"/>
        </w:rPr>
        <w:t>∅</w:t>
      </w:r>
      <w:r w:rsidRPr="003B28D2">
        <w:t>” shows the beginnings of conceptual reasoning, but it is not deepened using contextual models as recommended by RME. In the section on reflexive and symmetric relations, the student wrote examples of pairs and made arguments, but still without visual representations or real-world contexts. Although the reasoning was correct, the lack of visual scaffolding (e.g., relation charts or arrow diagrams) indicated that the student had not yet used emergent models at an early stage.</w:t>
      </w:r>
    </w:p>
    <w:p w14:paraId="1E3EA684" w14:textId="77777777" w:rsidR="00E332EA" w:rsidRPr="003B28D2" w:rsidRDefault="00E332EA" w:rsidP="00E332EA">
      <w:pPr>
        <w:spacing w:line="276" w:lineRule="auto"/>
        <w:jc w:val="both"/>
      </w:pPr>
      <w:r w:rsidRPr="003B28D2">
        <w:t>C. Comparative Analysis and Reasoning Patterns</w:t>
      </w:r>
    </w:p>
    <w:p w14:paraId="6486D770" w14:textId="77777777" w:rsidR="00E332EA" w:rsidRPr="003B28D2" w:rsidRDefault="00E332EA" w:rsidP="00E332EA">
      <w:pPr>
        <w:spacing w:line="276" w:lineRule="auto"/>
        <w:jc w:val="both"/>
      </w:pPr>
      <w:r w:rsidRPr="003B28D2">
        <w:lastRenderedPageBreak/>
        <w:t>A comparison between the two students reveals a convergent pattern: both demonstrate good symbolic reasoning but still lack conceptual-contextual reasoning. Within the RME framework, this indicates that learning emphasizes vertical formalization over horizontal mathematization. Student A excels in consistency and symbolic accuracy; Student B has a tendency to generalize verbally but lacks depth. Both patterns indicate that without RME-based intervention, their understanding remains at the manipulative-procedural level.</w:t>
      </w:r>
    </w:p>
    <w:p w14:paraId="2403DA73" w14:textId="77777777" w:rsidR="00E332EA" w:rsidRDefault="00E332EA" w:rsidP="00E332EA">
      <w:pPr>
        <w:spacing w:line="276" w:lineRule="auto"/>
        <w:jc w:val="both"/>
      </w:pPr>
      <w:r w:rsidRPr="003B28D2">
        <w:t>Table 1. Categories of Student Reasoning in the RME Perspective</w:t>
      </w:r>
    </w:p>
    <w:p w14:paraId="42E043CC" w14:textId="77777777" w:rsidR="00E332EA" w:rsidRPr="003B28D2" w:rsidRDefault="00E332EA" w:rsidP="00E332EA">
      <w:pPr>
        <w:spacing w:line="276" w:lineRule="auto"/>
        <w:jc w:val="both"/>
      </w:pPr>
    </w:p>
    <w:tbl>
      <w:tblPr>
        <w:tblStyle w:val="TableGrid"/>
        <w:tblW w:w="0" w:type="auto"/>
        <w:tblLook w:val="04A0" w:firstRow="1" w:lastRow="0" w:firstColumn="1" w:lastColumn="0" w:noHBand="0" w:noVBand="1"/>
      </w:tblPr>
      <w:tblGrid>
        <w:gridCol w:w="1962"/>
        <w:gridCol w:w="1937"/>
        <w:gridCol w:w="1751"/>
        <w:gridCol w:w="1757"/>
      </w:tblGrid>
      <w:tr w:rsidR="00E332EA" w:rsidRPr="003B28D2" w14:paraId="5A9DD5EB" w14:textId="77777777" w:rsidTr="00E56897">
        <w:tc>
          <w:tcPr>
            <w:tcW w:w="1962" w:type="dxa"/>
          </w:tcPr>
          <w:p w14:paraId="3095B0AB" w14:textId="77777777" w:rsidR="00E332EA" w:rsidRPr="003B28D2" w:rsidRDefault="00E332EA" w:rsidP="00E56897">
            <w:pPr>
              <w:spacing w:line="276" w:lineRule="auto"/>
              <w:jc w:val="both"/>
            </w:pPr>
            <w:r w:rsidRPr="003B28D2">
              <w:t>Category</w:t>
            </w:r>
            <w:r>
              <w:rPr>
                <w:lang w:val="en-US"/>
              </w:rPr>
              <w:t xml:space="preserve"> </w:t>
            </w:r>
            <w:r w:rsidRPr="003B28D2">
              <w:t>RME</w:t>
            </w:r>
          </w:p>
        </w:tc>
        <w:tc>
          <w:tcPr>
            <w:tcW w:w="1937" w:type="dxa"/>
          </w:tcPr>
          <w:p w14:paraId="79A75580" w14:textId="77777777" w:rsidR="00E332EA" w:rsidRPr="003B28D2" w:rsidRDefault="00E332EA" w:rsidP="00E56897">
            <w:pPr>
              <w:spacing w:line="276" w:lineRule="auto"/>
              <w:jc w:val="both"/>
            </w:pPr>
            <w:r w:rsidRPr="003B28D2">
              <w:t>Description</w:t>
            </w:r>
          </w:p>
        </w:tc>
        <w:tc>
          <w:tcPr>
            <w:tcW w:w="1751" w:type="dxa"/>
          </w:tcPr>
          <w:p w14:paraId="23881759" w14:textId="77777777" w:rsidR="00E332EA" w:rsidRPr="003B28D2" w:rsidRDefault="00E332EA" w:rsidP="00E56897">
            <w:pPr>
              <w:spacing w:line="276" w:lineRule="auto"/>
              <w:jc w:val="both"/>
            </w:pPr>
            <w:r w:rsidRPr="003B28D2">
              <w:t>Student A</w:t>
            </w:r>
          </w:p>
        </w:tc>
        <w:tc>
          <w:tcPr>
            <w:tcW w:w="1757" w:type="dxa"/>
          </w:tcPr>
          <w:p w14:paraId="36F470F2" w14:textId="77777777" w:rsidR="00E332EA" w:rsidRPr="003B28D2" w:rsidRDefault="00E332EA" w:rsidP="00E56897">
            <w:pPr>
              <w:spacing w:line="276" w:lineRule="auto"/>
              <w:jc w:val="both"/>
            </w:pPr>
            <w:r w:rsidRPr="003B28D2">
              <w:t>Student B</w:t>
            </w:r>
          </w:p>
        </w:tc>
      </w:tr>
      <w:tr w:rsidR="00E332EA" w:rsidRPr="003B28D2" w14:paraId="2ED27D6A" w14:textId="77777777" w:rsidTr="00E56897">
        <w:tc>
          <w:tcPr>
            <w:tcW w:w="1962" w:type="dxa"/>
          </w:tcPr>
          <w:p w14:paraId="742488B0" w14:textId="77777777" w:rsidR="00E332EA" w:rsidRPr="003B28D2" w:rsidRDefault="00E332EA" w:rsidP="00E56897">
            <w:pPr>
              <w:spacing w:line="276" w:lineRule="auto"/>
              <w:jc w:val="both"/>
            </w:pPr>
            <w:r w:rsidRPr="003B28D2">
              <w:t>Horizontal Mathematization</w:t>
            </w:r>
          </w:p>
        </w:tc>
        <w:tc>
          <w:tcPr>
            <w:tcW w:w="1937" w:type="dxa"/>
          </w:tcPr>
          <w:p w14:paraId="389CAC7E" w14:textId="77777777" w:rsidR="00E332EA" w:rsidRPr="003B28D2" w:rsidRDefault="00E332EA" w:rsidP="00E56897">
            <w:pPr>
              <w:spacing w:line="276" w:lineRule="auto"/>
              <w:jc w:val="both"/>
            </w:pPr>
            <w:r w:rsidRPr="003B28D2">
              <w:t>Connecting abstract concepts to context or models</w:t>
            </w:r>
          </w:p>
        </w:tc>
        <w:tc>
          <w:tcPr>
            <w:tcW w:w="1751" w:type="dxa"/>
          </w:tcPr>
          <w:p w14:paraId="6D922E9E" w14:textId="77777777" w:rsidR="00E332EA" w:rsidRPr="003B28D2" w:rsidRDefault="00E332EA" w:rsidP="00E56897">
            <w:pPr>
              <w:spacing w:line="276" w:lineRule="auto"/>
              <w:jc w:val="both"/>
            </w:pPr>
            <w:r w:rsidRPr="003B28D2">
              <w:t>Low (no context)</w:t>
            </w:r>
          </w:p>
        </w:tc>
        <w:tc>
          <w:tcPr>
            <w:tcW w:w="1757" w:type="dxa"/>
          </w:tcPr>
          <w:p w14:paraId="1C13633B" w14:textId="77777777" w:rsidR="00E332EA" w:rsidRPr="003B28D2" w:rsidRDefault="00E332EA" w:rsidP="00E56897">
            <w:pPr>
              <w:spacing w:line="276" w:lineRule="auto"/>
              <w:jc w:val="both"/>
            </w:pPr>
            <w:r w:rsidRPr="003B28D2">
              <w:t>Low (shallow verbal explanation)</w:t>
            </w:r>
          </w:p>
        </w:tc>
      </w:tr>
      <w:tr w:rsidR="00E332EA" w:rsidRPr="003B28D2" w14:paraId="4B0BA766" w14:textId="77777777" w:rsidTr="00E56897">
        <w:tc>
          <w:tcPr>
            <w:tcW w:w="1962" w:type="dxa"/>
          </w:tcPr>
          <w:p w14:paraId="5C222113" w14:textId="77777777" w:rsidR="00E332EA" w:rsidRPr="003B28D2" w:rsidRDefault="00E332EA" w:rsidP="00E56897">
            <w:pPr>
              <w:spacing w:line="276" w:lineRule="auto"/>
              <w:jc w:val="both"/>
            </w:pPr>
            <w:r w:rsidRPr="003B28D2">
              <w:t>Vertical Mathematization</w:t>
            </w:r>
          </w:p>
        </w:tc>
        <w:tc>
          <w:tcPr>
            <w:tcW w:w="1937" w:type="dxa"/>
          </w:tcPr>
          <w:p w14:paraId="245BC061" w14:textId="77777777" w:rsidR="00E332EA" w:rsidRPr="003B28D2" w:rsidRDefault="00E332EA" w:rsidP="00E56897">
            <w:pPr>
              <w:spacing w:line="276" w:lineRule="auto"/>
              <w:jc w:val="both"/>
            </w:pPr>
            <w:r w:rsidRPr="003B28D2">
              <w:t>Symbol manipulation, legal use, formal proof</w:t>
            </w:r>
          </w:p>
        </w:tc>
        <w:tc>
          <w:tcPr>
            <w:tcW w:w="1751" w:type="dxa"/>
          </w:tcPr>
          <w:p w14:paraId="6EF000FB" w14:textId="77777777" w:rsidR="00E332EA" w:rsidRPr="003B28D2" w:rsidRDefault="00E332EA" w:rsidP="00E56897">
            <w:pPr>
              <w:spacing w:line="276" w:lineRule="auto"/>
              <w:jc w:val="both"/>
            </w:pPr>
            <w:r w:rsidRPr="003B28D2">
              <w:t>High (</w:t>
            </w:r>
            <w:proofErr w:type="gramStart"/>
            <w:r w:rsidRPr="003B28D2">
              <w:t xml:space="preserve">consistent)   </w:t>
            </w:r>
            <w:proofErr w:type="gramEnd"/>
            <w:r w:rsidRPr="003B28D2">
              <w:t xml:space="preserve">                   </w:t>
            </w:r>
          </w:p>
        </w:tc>
        <w:tc>
          <w:tcPr>
            <w:tcW w:w="1757" w:type="dxa"/>
          </w:tcPr>
          <w:p w14:paraId="0862A2C9" w14:textId="77777777" w:rsidR="00E332EA" w:rsidRPr="003B28D2" w:rsidRDefault="00E332EA" w:rsidP="00E56897">
            <w:pPr>
              <w:spacing w:line="276" w:lineRule="auto"/>
              <w:jc w:val="both"/>
            </w:pPr>
            <w:r w:rsidRPr="003B28D2">
              <w:t xml:space="preserve">Intermediate (there is a step </w:t>
            </w:r>
            <w:proofErr w:type="gramStart"/>
            <w:r w:rsidRPr="003B28D2">
              <w:t xml:space="preserve">jump)   </w:t>
            </w:r>
            <w:proofErr w:type="gramEnd"/>
            <w:r w:rsidRPr="003B28D2">
              <w:t xml:space="preserve">             </w:t>
            </w:r>
          </w:p>
        </w:tc>
      </w:tr>
      <w:tr w:rsidR="00E332EA" w:rsidRPr="003B28D2" w14:paraId="2C0024F1" w14:textId="77777777" w:rsidTr="00E56897">
        <w:tc>
          <w:tcPr>
            <w:tcW w:w="1962" w:type="dxa"/>
          </w:tcPr>
          <w:p w14:paraId="1921DE9B" w14:textId="77777777" w:rsidR="00E332EA" w:rsidRPr="003B28D2" w:rsidRDefault="00E332EA" w:rsidP="00E56897">
            <w:pPr>
              <w:spacing w:line="276" w:lineRule="auto"/>
              <w:jc w:val="both"/>
            </w:pPr>
            <w:r w:rsidRPr="003B28D2">
              <w:t>Emergent Models</w:t>
            </w:r>
          </w:p>
        </w:tc>
        <w:tc>
          <w:tcPr>
            <w:tcW w:w="1937" w:type="dxa"/>
          </w:tcPr>
          <w:p w14:paraId="43659F06" w14:textId="77777777" w:rsidR="00E332EA" w:rsidRPr="003B28D2" w:rsidRDefault="00E332EA" w:rsidP="00E56897">
            <w:pPr>
              <w:spacing w:line="276" w:lineRule="auto"/>
              <w:jc w:val="both"/>
            </w:pPr>
            <w:r w:rsidRPr="003B28D2">
              <w:t>Use of diagrams, illustrations, or representative models</w:t>
            </w:r>
          </w:p>
        </w:tc>
        <w:tc>
          <w:tcPr>
            <w:tcW w:w="1751" w:type="dxa"/>
          </w:tcPr>
          <w:p w14:paraId="2C92844B" w14:textId="77777777" w:rsidR="00E332EA" w:rsidRPr="003B28D2" w:rsidRDefault="00E332EA" w:rsidP="00E56897">
            <w:pPr>
              <w:spacing w:line="276" w:lineRule="auto"/>
              <w:jc w:val="both"/>
            </w:pPr>
          </w:p>
        </w:tc>
        <w:tc>
          <w:tcPr>
            <w:tcW w:w="1757" w:type="dxa"/>
          </w:tcPr>
          <w:p w14:paraId="0BEA064B" w14:textId="77777777" w:rsidR="00E332EA" w:rsidRPr="003B28D2" w:rsidRDefault="00E332EA" w:rsidP="00E56897">
            <w:pPr>
              <w:spacing w:line="276" w:lineRule="auto"/>
              <w:jc w:val="both"/>
            </w:pPr>
          </w:p>
        </w:tc>
      </w:tr>
      <w:tr w:rsidR="00E332EA" w:rsidRPr="003B28D2" w14:paraId="03EDF383" w14:textId="77777777" w:rsidTr="00E56897">
        <w:tc>
          <w:tcPr>
            <w:tcW w:w="1962" w:type="dxa"/>
          </w:tcPr>
          <w:p w14:paraId="1C960626" w14:textId="77777777" w:rsidR="00E332EA" w:rsidRPr="003B28D2" w:rsidRDefault="00E332EA" w:rsidP="00E56897">
            <w:pPr>
              <w:spacing w:line="276" w:lineRule="auto"/>
              <w:jc w:val="both"/>
            </w:pPr>
            <w:r w:rsidRPr="003B28D2">
              <w:t>Guided Reinvention</w:t>
            </w:r>
          </w:p>
        </w:tc>
        <w:tc>
          <w:tcPr>
            <w:tcW w:w="1937" w:type="dxa"/>
          </w:tcPr>
          <w:p w14:paraId="4276960E" w14:textId="77777777" w:rsidR="00E332EA" w:rsidRPr="003B28D2" w:rsidRDefault="00E332EA" w:rsidP="00E56897">
            <w:pPr>
              <w:spacing w:line="276" w:lineRule="auto"/>
              <w:jc w:val="both"/>
            </w:pPr>
            <w:r w:rsidRPr="003B28D2">
              <w:t>Finding concepts through context before formalizing them</w:t>
            </w:r>
          </w:p>
        </w:tc>
        <w:tc>
          <w:tcPr>
            <w:tcW w:w="1751" w:type="dxa"/>
          </w:tcPr>
          <w:p w14:paraId="5A675E0B" w14:textId="77777777" w:rsidR="00E332EA" w:rsidRPr="003B28D2" w:rsidRDefault="00E332EA" w:rsidP="00E56897">
            <w:pPr>
              <w:spacing w:line="276" w:lineRule="auto"/>
              <w:jc w:val="both"/>
            </w:pPr>
            <w:r w:rsidRPr="003B28D2">
              <w:t xml:space="preserve">Invisible                            </w:t>
            </w:r>
          </w:p>
        </w:tc>
        <w:tc>
          <w:tcPr>
            <w:tcW w:w="1757" w:type="dxa"/>
          </w:tcPr>
          <w:p w14:paraId="4A8FA65C" w14:textId="77777777" w:rsidR="00E332EA" w:rsidRPr="003B28D2" w:rsidRDefault="00E332EA" w:rsidP="00E56897">
            <w:pPr>
              <w:spacing w:line="276" w:lineRule="auto"/>
              <w:jc w:val="both"/>
            </w:pPr>
            <w:r w:rsidRPr="003B28D2">
              <w:t xml:space="preserve">Invisible                                 </w:t>
            </w:r>
          </w:p>
        </w:tc>
      </w:tr>
      <w:tr w:rsidR="00E332EA" w:rsidRPr="003B28D2" w14:paraId="38575B3A" w14:textId="77777777" w:rsidTr="00E56897">
        <w:tc>
          <w:tcPr>
            <w:tcW w:w="1962" w:type="dxa"/>
          </w:tcPr>
          <w:p w14:paraId="5AA3A521" w14:textId="77777777" w:rsidR="00E332EA" w:rsidRPr="003B28D2" w:rsidRDefault="00E332EA" w:rsidP="00E56897">
            <w:pPr>
              <w:spacing w:line="276" w:lineRule="auto"/>
              <w:jc w:val="both"/>
            </w:pPr>
            <w:r w:rsidRPr="003B28D2">
              <w:t>Reasoning Type</w:t>
            </w:r>
          </w:p>
        </w:tc>
        <w:tc>
          <w:tcPr>
            <w:tcW w:w="1937" w:type="dxa"/>
          </w:tcPr>
          <w:p w14:paraId="5302DA33" w14:textId="77777777" w:rsidR="00E332EA" w:rsidRPr="003B28D2" w:rsidRDefault="00E332EA" w:rsidP="00E56897">
            <w:pPr>
              <w:spacing w:line="276" w:lineRule="auto"/>
              <w:jc w:val="both"/>
            </w:pPr>
            <w:r w:rsidRPr="003B28D2">
              <w:t>Imitative vs Creative reasoning</w:t>
            </w:r>
          </w:p>
        </w:tc>
        <w:tc>
          <w:tcPr>
            <w:tcW w:w="1751" w:type="dxa"/>
          </w:tcPr>
          <w:p w14:paraId="2F79AFFE" w14:textId="77777777" w:rsidR="00E332EA" w:rsidRPr="003B28D2" w:rsidRDefault="00E332EA" w:rsidP="00E56897">
            <w:pPr>
              <w:spacing w:line="276" w:lineRule="auto"/>
              <w:jc w:val="both"/>
            </w:pPr>
            <w:proofErr w:type="spellStart"/>
            <w:r w:rsidRPr="003B28D2">
              <w:t>Dominan</w:t>
            </w:r>
            <w:proofErr w:type="spellEnd"/>
            <w:r w:rsidRPr="003B28D2">
              <w:t xml:space="preserve"> imitative reasoning </w:t>
            </w:r>
            <w:proofErr w:type="spellStart"/>
            <w:r w:rsidRPr="003B28D2">
              <w:t>terstruktur</w:t>
            </w:r>
            <w:proofErr w:type="spellEnd"/>
          </w:p>
        </w:tc>
        <w:tc>
          <w:tcPr>
            <w:tcW w:w="1757" w:type="dxa"/>
          </w:tcPr>
          <w:p w14:paraId="6A617877" w14:textId="77777777" w:rsidR="00E332EA" w:rsidRPr="003B28D2" w:rsidRDefault="00E332EA" w:rsidP="00E56897">
            <w:pPr>
              <w:spacing w:line="276" w:lineRule="auto"/>
              <w:jc w:val="both"/>
            </w:pPr>
            <w:r w:rsidRPr="003B28D2">
              <w:t xml:space="preserve">Imitative reasoning </w:t>
            </w:r>
            <w:proofErr w:type="spellStart"/>
            <w:r w:rsidRPr="003B28D2">
              <w:t>dengan</w:t>
            </w:r>
            <w:proofErr w:type="spellEnd"/>
            <w:r w:rsidRPr="003B28D2">
              <w:t xml:space="preserve"> </w:t>
            </w:r>
            <w:proofErr w:type="spellStart"/>
            <w:r w:rsidRPr="003B28D2">
              <w:t>celah</w:t>
            </w:r>
            <w:proofErr w:type="spellEnd"/>
            <w:r w:rsidRPr="003B28D2">
              <w:t xml:space="preserve"> </w:t>
            </w:r>
            <w:proofErr w:type="spellStart"/>
            <w:r w:rsidRPr="003B28D2">
              <w:t>konsistensi</w:t>
            </w:r>
            <w:proofErr w:type="spellEnd"/>
          </w:p>
        </w:tc>
      </w:tr>
    </w:tbl>
    <w:p w14:paraId="0A538C6D" w14:textId="77777777" w:rsidR="00E332EA" w:rsidRPr="003B28D2" w:rsidRDefault="00E332EA" w:rsidP="00E332EA">
      <w:pPr>
        <w:spacing w:line="276" w:lineRule="auto"/>
        <w:jc w:val="both"/>
      </w:pPr>
    </w:p>
    <w:p w14:paraId="423EE898" w14:textId="77777777" w:rsidR="00E332EA" w:rsidRPr="00E332EA" w:rsidRDefault="00E332EA" w:rsidP="00E332EA">
      <w:pPr>
        <w:spacing w:line="276" w:lineRule="auto"/>
        <w:jc w:val="both"/>
        <w:rPr>
          <w:b/>
          <w:bCs/>
        </w:rPr>
      </w:pPr>
      <w:r w:rsidRPr="00E332EA">
        <w:rPr>
          <w:b/>
          <w:bCs/>
        </w:rPr>
        <w:t>DISCUSSION</w:t>
      </w:r>
    </w:p>
    <w:p w14:paraId="026DF580" w14:textId="77777777" w:rsidR="00E332EA" w:rsidRPr="003B28D2" w:rsidRDefault="00E332EA" w:rsidP="00E332EA">
      <w:pPr>
        <w:pStyle w:val="ListParagraph"/>
        <w:numPr>
          <w:ilvl w:val="0"/>
          <w:numId w:val="18"/>
        </w:numPr>
        <w:spacing w:after="160" w:line="276" w:lineRule="auto"/>
        <w:contextualSpacing/>
        <w:jc w:val="both"/>
      </w:pPr>
      <w:r w:rsidRPr="003B28D2">
        <w:t>Interpretation of Findings in the Context of RME</w:t>
      </w:r>
    </w:p>
    <w:p w14:paraId="4F6FE0A7" w14:textId="77777777" w:rsidR="00E332EA" w:rsidRPr="003B28D2" w:rsidRDefault="00E332EA" w:rsidP="00E332EA">
      <w:pPr>
        <w:pStyle w:val="NormalWeb"/>
        <w:spacing w:line="276" w:lineRule="auto"/>
        <w:jc w:val="both"/>
        <w:rPr>
          <w:color w:val="000000"/>
        </w:rPr>
      </w:pPr>
      <w:r w:rsidRPr="003B28D2">
        <w:rPr>
          <w:color w:val="000000"/>
        </w:rPr>
        <w:t xml:space="preserve">The results show that both students are capable of symbolic-formal mathematical processing, but have not yet demonstrated reasoning development supported by the fundamental characteristics of RME. Ideally, RME places contextual understanding before formalization; however, the data show that the students' reasoning developed without going through the contextual path recommended by Freudenthal. The absence of horizontal mathematization resulted in the students' reasoning being less flexible. They can solve problems whose structure and rules they are familiar with, but have not yet demonstrated the ability to construct arguments from realistic contexts or to utilize visual representations as thinking tools. These findings are consistent with international studies showing that students who learn formal mathematics tend to master procedures without deep conceptual understanding (Degrande et </w:t>
      </w:r>
      <w:r w:rsidRPr="003B28D2">
        <w:rPr>
          <w:color w:val="000000"/>
        </w:rPr>
        <w:lastRenderedPageBreak/>
        <w:t>al., 2019; Fernández et al., 2021). A purely symbolic approach causes students to develop imitative reasoning, while creative reasoning develops when students are given the opportunity to interact with models and contexts (Lithner, 2017). In the context of Discrete Mathematics, the use of models such as Venn diagrams, relation graphs, logic tables, or real-world cases can enrich reasoning and is very much in line with RME. The absence of such models in students' answers indicates that the learning design they experienced did not sufficiently facilitate emergent modeling.</w:t>
      </w:r>
    </w:p>
    <w:p w14:paraId="120A4682" w14:textId="77777777" w:rsidR="00E332EA" w:rsidRPr="003B28D2" w:rsidRDefault="00E332EA" w:rsidP="00E332EA">
      <w:pPr>
        <w:spacing w:line="276" w:lineRule="auto"/>
        <w:jc w:val="both"/>
      </w:pPr>
    </w:p>
    <w:p w14:paraId="2F3F998F" w14:textId="77777777" w:rsidR="00E332EA" w:rsidRPr="003B28D2" w:rsidRDefault="00E332EA" w:rsidP="00E332EA">
      <w:pPr>
        <w:pStyle w:val="ListParagraph"/>
        <w:numPr>
          <w:ilvl w:val="0"/>
          <w:numId w:val="19"/>
        </w:numPr>
        <w:spacing w:after="160" w:line="276" w:lineRule="auto"/>
        <w:contextualSpacing/>
        <w:jc w:val="both"/>
      </w:pPr>
      <w:r w:rsidRPr="003B28D2">
        <w:t>Pedagogical Implications</w:t>
      </w:r>
    </w:p>
    <w:p w14:paraId="35F2BC7F" w14:textId="77777777" w:rsidR="00E332EA" w:rsidRPr="003B28D2" w:rsidRDefault="00E332EA" w:rsidP="00E332EA">
      <w:pPr>
        <w:spacing w:line="276" w:lineRule="auto"/>
        <w:jc w:val="both"/>
      </w:pPr>
    </w:p>
    <w:p w14:paraId="3C361ACB" w14:textId="77777777" w:rsidR="00E332EA" w:rsidRPr="003B28D2" w:rsidRDefault="00E332EA" w:rsidP="00E332EA">
      <w:pPr>
        <w:pStyle w:val="ListParagraph"/>
        <w:numPr>
          <w:ilvl w:val="0"/>
          <w:numId w:val="15"/>
        </w:numPr>
        <w:spacing w:after="160" w:line="276" w:lineRule="auto"/>
        <w:contextualSpacing/>
        <w:jc w:val="both"/>
      </w:pPr>
      <w:r w:rsidRPr="003B28D2">
        <w:t>It is necessary to integrate context-based assignments for logic and set topics so that students can conduct a guided reinvention of concepts before formalizing them.</w:t>
      </w:r>
    </w:p>
    <w:p w14:paraId="02AEC29B" w14:textId="77777777" w:rsidR="00E332EA" w:rsidRDefault="00E332EA" w:rsidP="00E332EA">
      <w:pPr>
        <w:pStyle w:val="ListParagraph"/>
        <w:numPr>
          <w:ilvl w:val="0"/>
          <w:numId w:val="15"/>
        </w:numPr>
        <w:spacing w:after="160" w:line="276" w:lineRule="auto"/>
        <w:contextualSpacing/>
        <w:jc w:val="both"/>
      </w:pPr>
      <w:r w:rsidRPr="003B28D2">
        <w:t>Visual representations should be the first step, not a complement, in learning.</w:t>
      </w:r>
    </w:p>
    <w:p w14:paraId="056C5428" w14:textId="77777777" w:rsidR="00E332EA" w:rsidRPr="0069101E" w:rsidRDefault="00E332EA" w:rsidP="00E332EA">
      <w:pPr>
        <w:pStyle w:val="ListParagraph"/>
        <w:numPr>
          <w:ilvl w:val="0"/>
          <w:numId w:val="15"/>
        </w:numPr>
        <w:spacing w:after="160" w:line="276" w:lineRule="auto"/>
        <w:contextualSpacing/>
        <w:jc w:val="both"/>
      </w:pPr>
      <w:r w:rsidRPr="0069101E">
        <w:t>The assessment rubric should assess justification, not just results.</w:t>
      </w:r>
    </w:p>
    <w:p w14:paraId="27E53D94" w14:textId="77777777" w:rsidR="00E332EA" w:rsidRPr="0069101E" w:rsidRDefault="00E332EA" w:rsidP="00E332EA">
      <w:pPr>
        <w:pStyle w:val="ListParagraph"/>
        <w:numPr>
          <w:ilvl w:val="0"/>
          <w:numId w:val="15"/>
        </w:numPr>
        <w:spacing w:after="160" w:line="276" w:lineRule="auto"/>
        <w:contextualSpacing/>
        <w:jc w:val="both"/>
      </w:pPr>
      <w:r w:rsidRPr="0069101E">
        <w:t>Students need to be trained to write evidence with a premise structure → rules → conclusions so that their reasoning is more explicit.</w:t>
      </w:r>
    </w:p>
    <w:p w14:paraId="20782655" w14:textId="77777777" w:rsidR="00E332EA" w:rsidRPr="003B28D2" w:rsidRDefault="00E332EA" w:rsidP="00E332EA">
      <w:pPr>
        <w:spacing w:line="276" w:lineRule="auto"/>
        <w:jc w:val="both"/>
      </w:pPr>
    </w:p>
    <w:p w14:paraId="3C6351B9" w14:textId="77777777" w:rsidR="00E332EA" w:rsidRDefault="00E332EA" w:rsidP="00E332EA">
      <w:pPr>
        <w:spacing w:line="276" w:lineRule="auto"/>
        <w:jc w:val="both"/>
      </w:pPr>
      <w:r>
        <w:t>Table</w:t>
      </w:r>
      <w:r w:rsidRPr="003B28D2">
        <w:t xml:space="preserve"> 2. RME-Based Reasoning Assessment Rubric</w:t>
      </w:r>
    </w:p>
    <w:p w14:paraId="4943094D" w14:textId="77777777" w:rsidR="00E332EA" w:rsidRPr="003B28D2" w:rsidRDefault="00E332EA" w:rsidP="00E332EA">
      <w:pPr>
        <w:spacing w:line="276" w:lineRule="auto"/>
        <w:jc w:val="both"/>
      </w:pPr>
    </w:p>
    <w:tbl>
      <w:tblPr>
        <w:tblStyle w:val="TableGrid"/>
        <w:tblW w:w="0" w:type="auto"/>
        <w:tblLook w:val="04A0" w:firstRow="1" w:lastRow="0" w:firstColumn="1" w:lastColumn="0" w:noHBand="0" w:noVBand="1"/>
      </w:tblPr>
      <w:tblGrid>
        <w:gridCol w:w="2254"/>
        <w:gridCol w:w="2254"/>
        <w:gridCol w:w="2254"/>
        <w:gridCol w:w="2254"/>
      </w:tblGrid>
      <w:tr w:rsidR="00E332EA" w:rsidRPr="003B28D2" w14:paraId="693982BE" w14:textId="77777777" w:rsidTr="00E56897">
        <w:tc>
          <w:tcPr>
            <w:tcW w:w="2254" w:type="dxa"/>
          </w:tcPr>
          <w:p w14:paraId="2BC89E19" w14:textId="77777777" w:rsidR="00E332EA" w:rsidRPr="003B28D2" w:rsidRDefault="00E332EA" w:rsidP="00E56897">
            <w:pPr>
              <w:spacing w:line="276" w:lineRule="auto"/>
              <w:jc w:val="both"/>
            </w:pPr>
            <w:r w:rsidRPr="003B28D2">
              <w:t>Aspects</w:t>
            </w:r>
          </w:p>
        </w:tc>
        <w:tc>
          <w:tcPr>
            <w:tcW w:w="2254" w:type="dxa"/>
          </w:tcPr>
          <w:p w14:paraId="4A65F7BA" w14:textId="77777777" w:rsidR="00E332EA" w:rsidRPr="003B28D2" w:rsidRDefault="00E332EA" w:rsidP="00E56897">
            <w:pPr>
              <w:spacing w:line="276" w:lineRule="auto"/>
              <w:jc w:val="both"/>
            </w:pPr>
            <w:r w:rsidRPr="003B28D2">
              <w:t>High Level</w:t>
            </w:r>
          </w:p>
        </w:tc>
        <w:tc>
          <w:tcPr>
            <w:tcW w:w="2254" w:type="dxa"/>
          </w:tcPr>
          <w:p w14:paraId="44DD81D2" w14:textId="77777777" w:rsidR="00E332EA" w:rsidRPr="006E6530" w:rsidRDefault="00E332EA" w:rsidP="00E56897">
            <w:pPr>
              <w:spacing w:line="276" w:lineRule="auto"/>
              <w:jc w:val="both"/>
              <w:rPr>
                <w:lang w:val="en-US"/>
              </w:rPr>
            </w:pPr>
            <w:r w:rsidRPr="00782A92">
              <w:t>intermediate level</w:t>
            </w:r>
          </w:p>
        </w:tc>
        <w:tc>
          <w:tcPr>
            <w:tcW w:w="2254" w:type="dxa"/>
          </w:tcPr>
          <w:p w14:paraId="00CA3AAC" w14:textId="77777777" w:rsidR="00E332EA" w:rsidRPr="003B28D2" w:rsidRDefault="00E332EA" w:rsidP="00E56897">
            <w:pPr>
              <w:spacing w:line="276" w:lineRule="auto"/>
              <w:jc w:val="both"/>
            </w:pPr>
            <w:r w:rsidRPr="003B28D2">
              <w:t>Low Level</w:t>
            </w:r>
          </w:p>
        </w:tc>
      </w:tr>
      <w:tr w:rsidR="00E332EA" w:rsidRPr="003B28D2" w14:paraId="5118F947" w14:textId="77777777" w:rsidTr="00E56897">
        <w:tc>
          <w:tcPr>
            <w:tcW w:w="2254" w:type="dxa"/>
          </w:tcPr>
          <w:p w14:paraId="5E599DF2" w14:textId="77777777" w:rsidR="00E332EA" w:rsidRPr="003B28D2" w:rsidRDefault="00E332EA" w:rsidP="00E56897">
            <w:pPr>
              <w:spacing w:line="276" w:lineRule="auto"/>
              <w:jc w:val="both"/>
            </w:pPr>
            <w:r w:rsidRPr="003B28D2">
              <w:t>Horizontal Mathematization</w:t>
            </w:r>
          </w:p>
        </w:tc>
        <w:tc>
          <w:tcPr>
            <w:tcW w:w="2254" w:type="dxa"/>
          </w:tcPr>
          <w:p w14:paraId="2F0D39F0" w14:textId="77777777" w:rsidR="00E332EA" w:rsidRPr="003B28D2" w:rsidRDefault="00E332EA" w:rsidP="00E56897">
            <w:pPr>
              <w:spacing w:line="276" w:lineRule="auto"/>
              <w:jc w:val="both"/>
            </w:pPr>
            <w:r w:rsidRPr="003B28D2">
              <w:t>Clearly connect concepts to realistic context</w:t>
            </w:r>
          </w:p>
        </w:tc>
        <w:tc>
          <w:tcPr>
            <w:tcW w:w="2254" w:type="dxa"/>
          </w:tcPr>
          <w:p w14:paraId="29746AAE" w14:textId="77777777" w:rsidR="00E332EA" w:rsidRPr="003B28D2" w:rsidRDefault="00E332EA" w:rsidP="00E56897">
            <w:pPr>
              <w:spacing w:line="276" w:lineRule="auto"/>
              <w:jc w:val="both"/>
            </w:pPr>
            <w:r w:rsidRPr="003B28D2">
              <w:t>Explain concepts verbally without context</w:t>
            </w:r>
          </w:p>
        </w:tc>
        <w:tc>
          <w:tcPr>
            <w:tcW w:w="2254" w:type="dxa"/>
          </w:tcPr>
          <w:p w14:paraId="722D5B6A" w14:textId="77777777" w:rsidR="00E332EA" w:rsidRPr="003B28D2" w:rsidRDefault="00E332EA" w:rsidP="00E56897">
            <w:pPr>
              <w:spacing w:line="276" w:lineRule="auto"/>
              <w:jc w:val="both"/>
            </w:pPr>
            <w:r w:rsidRPr="003B28D2">
              <w:t>No connection to context</w:t>
            </w:r>
          </w:p>
        </w:tc>
      </w:tr>
      <w:tr w:rsidR="00E332EA" w:rsidRPr="003B28D2" w14:paraId="5301C80C" w14:textId="77777777" w:rsidTr="00E56897">
        <w:tc>
          <w:tcPr>
            <w:tcW w:w="2254" w:type="dxa"/>
          </w:tcPr>
          <w:p w14:paraId="461FF7BA" w14:textId="77777777" w:rsidR="00E332EA" w:rsidRPr="003B28D2" w:rsidRDefault="00E332EA" w:rsidP="00E56897">
            <w:pPr>
              <w:spacing w:line="276" w:lineRule="auto"/>
              <w:jc w:val="both"/>
            </w:pPr>
            <w:r w:rsidRPr="003B28D2">
              <w:t>Vertical Mathematization</w:t>
            </w:r>
          </w:p>
        </w:tc>
        <w:tc>
          <w:tcPr>
            <w:tcW w:w="2254" w:type="dxa"/>
          </w:tcPr>
          <w:p w14:paraId="536F79BA" w14:textId="77777777" w:rsidR="00E332EA" w:rsidRPr="003B28D2" w:rsidRDefault="00E332EA" w:rsidP="00E56897">
            <w:pPr>
              <w:spacing w:line="276" w:lineRule="auto"/>
              <w:jc w:val="both"/>
            </w:pPr>
            <w:r w:rsidRPr="003B28D2">
              <w:t>Complete, concise, and correct symbolic arguments</w:t>
            </w:r>
          </w:p>
        </w:tc>
        <w:tc>
          <w:tcPr>
            <w:tcW w:w="2254" w:type="dxa"/>
          </w:tcPr>
          <w:p w14:paraId="769DC8A2" w14:textId="77777777" w:rsidR="00E332EA" w:rsidRPr="003B28D2" w:rsidRDefault="00E332EA" w:rsidP="00E56897">
            <w:pPr>
              <w:spacing w:line="276" w:lineRule="auto"/>
              <w:jc w:val="both"/>
            </w:pPr>
            <w:r w:rsidRPr="003B28D2">
              <w:t>There is formal evidence but there is a step jump</w:t>
            </w:r>
          </w:p>
        </w:tc>
        <w:tc>
          <w:tcPr>
            <w:tcW w:w="2254" w:type="dxa"/>
          </w:tcPr>
          <w:p w14:paraId="1E26D68E" w14:textId="77777777" w:rsidR="00E332EA" w:rsidRPr="003B28D2" w:rsidRDefault="00E332EA" w:rsidP="00E56897">
            <w:pPr>
              <w:spacing w:line="276" w:lineRule="auto"/>
              <w:jc w:val="both"/>
            </w:pPr>
            <w:r w:rsidRPr="003B28D2">
              <w:t>Inconsistent symbol manipulation</w:t>
            </w:r>
          </w:p>
        </w:tc>
      </w:tr>
      <w:tr w:rsidR="00E332EA" w:rsidRPr="003B28D2" w14:paraId="62A04E1A" w14:textId="77777777" w:rsidTr="00E56897">
        <w:tc>
          <w:tcPr>
            <w:tcW w:w="2254" w:type="dxa"/>
          </w:tcPr>
          <w:p w14:paraId="0664529F" w14:textId="77777777" w:rsidR="00E332EA" w:rsidRPr="003B28D2" w:rsidRDefault="00E332EA" w:rsidP="00E56897">
            <w:pPr>
              <w:spacing w:line="276" w:lineRule="auto"/>
              <w:jc w:val="both"/>
            </w:pPr>
            <w:r w:rsidRPr="003B28D2">
              <w:t>Use of Models</w:t>
            </w:r>
          </w:p>
        </w:tc>
        <w:tc>
          <w:tcPr>
            <w:tcW w:w="2254" w:type="dxa"/>
          </w:tcPr>
          <w:p w14:paraId="51C26491" w14:textId="77777777" w:rsidR="00E332EA" w:rsidRPr="003B28D2" w:rsidRDefault="00E332EA" w:rsidP="00E56897">
            <w:pPr>
              <w:spacing w:line="276" w:lineRule="auto"/>
              <w:jc w:val="both"/>
            </w:pPr>
            <w:r w:rsidRPr="003B28D2">
              <w:t>Using diagrams/models as part of an argument</w:t>
            </w:r>
          </w:p>
        </w:tc>
        <w:tc>
          <w:tcPr>
            <w:tcW w:w="2254" w:type="dxa"/>
          </w:tcPr>
          <w:p w14:paraId="29990178" w14:textId="77777777" w:rsidR="00E332EA" w:rsidRPr="003B28D2" w:rsidRDefault="00E332EA" w:rsidP="00E56897">
            <w:pPr>
              <w:spacing w:line="276" w:lineRule="auto"/>
              <w:jc w:val="both"/>
            </w:pPr>
            <w:r w:rsidRPr="003B28D2">
              <w:t>Using representations but inconsistent</w:t>
            </w:r>
          </w:p>
        </w:tc>
        <w:tc>
          <w:tcPr>
            <w:tcW w:w="2254" w:type="dxa"/>
          </w:tcPr>
          <w:p w14:paraId="6DDA168F" w14:textId="77777777" w:rsidR="00E332EA" w:rsidRPr="003B28D2" w:rsidRDefault="00E332EA" w:rsidP="00E56897">
            <w:pPr>
              <w:spacing w:line="276" w:lineRule="auto"/>
              <w:jc w:val="both"/>
            </w:pPr>
            <w:r w:rsidRPr="003B28D2">
              <w:t>Not using models</w:t>
            </w:r>
          </w:p>
        </w:tc>
      </w:tr>
      <w:tr w:rsidR="00E332EA" w:rsidRPr="003B28D2" w14:paraId="09E47A3D" w14:textId="77777777" w:rsidTr="00E56897">
        <w:tc>
          <w:tcPr>
            <w:tcW w:w="2254" w:type="dxa"/>
          </w:tcPr>
          <w:p w14:paraId="3AE139DA" w14:textId="77777777" w:rsidR="00E332EA" w:rsidRPr="003B28D2" w:rsidRDefault="00E332EA" w:rsidP="00E56897">
            <w:pPr>
              <w:spacing w:line="276" w:lineRule="auto"/>
              <w:jc w:val="both"/>
            </w:pPr>
            <w:r w:rsidRPr="003B28D2">
              <w:t>Justification Quality</w:t>
            </w:r>
          </w:p>
        </w:tc>
        <w:tc>
          <w:tcPr>
            <w:tcW w:w="2254" w:type="dxa"/>
          </w:tcPr>
          <w:p w14:paraId="6D752414" w14:textId="77777777" w:rsidR="00E332EA" w:rsidRPr="003B28D2" w:rsidRDefault="00E332EA" w:rsidP="00E56897">
            <w:pPr>
              <w:spacing w:line="276" w:lineRule="auto"/>
              <w:jc w:val="both"/>
            </w:pPr>
            <w:r w:rsidRPr="003B28D2">
              <w:t xml:space="preserve">Each step has an explicit reason               </w:t>
            </w:r>
          </w:p>
        </w:tc>
        <w:tc>
          <w:tcPr>
            <w:tcW w:w="2254" w:type="dxa"/>
          </w:tcPr>
          <w:p w14:paraId="41F602D6" w14:textId="77777777" w:rsidR="00E332EA" w:rsidRPr="003B28D2" w:rsidRDefault="00E332EA" w:rsidP="00E56897">
            <w:pPr>
              <w:spacing w:line="276" w:lineRule="auto"/>
              <w:jc w:val="both"/>
            </w:pPr>
            <w:r w:rsidRPr="003B28D2">
              <w:t xml:space="preserve">Some steps are justified                  </w:t>
            </w:r>
          </w:p>
        </w:tc>
        <w:tc>
          <w:tcPr>
            <w:tcW w:w="2254" w:type="dxa"/>
          </w:tcPr>
          <w:p w14:paraId="15D7910E" w14:textId="77777777" w:rsidR="00E332EA" w:rsidRPr="003B28D2" w:rsidRDefault="00E332EA" w:rsidP="00E56897">
            <w:pPr>
              <w:spacing w:line="276" w:lineRule="auto"/>
              <w:jc w:val="both"/>
            </w:pPr>
            <w:r w:rsidRPr="003B28D2">
              <w:t xml:space="preserve">Unjustified steps       </w:t>
            </w:r>
          </w:p>
        </w:tc>
      </w:tr>
    </w:tbl>
    <w:p w14:paraId="1D3239D3" w14:textId="77777777" w:rsidR="00E332EA" w:rsidRPr="003B28D2" w:rsidRDefault="00E332EA" w:rsidP="00E332EA">
      <w:pPr>
        <w:spacing w:line="276" w:lineRule="auto"/>
        <w:jc w:val="both"/>
      </w:pPr>
    </w:p>
    <w:p w14:paraId="2AE107F4" w14:textId="77777777" w:rsidR="00E332EA" w:rsidRPr="003B28D2" w:rsidRDefault="00E332EA" w:rsidP="00E332EA">
      <w:pPr>
        <w:spacing w:line="276" w:lineRule="auto"/>
        <w:jc w:val="both"/>
      </w:pPr>
      <w:r w:rsidRPr="003B28D2">
        <w:t xml:space="preserve">The analysis of the two students showed that both mastered formal reasoning but had not developed conceptual reasoning within the framework of RME. This provides empirical evidence for the need for the implementation of context-rich tasks, emergent </w:t>
      </w:r>
      <w:proofErr w:type="spellStart"/>
      <w:r w:rsidRPr="003B28D2">
        <w:t>modeling</w:t>
      </w:r>
      <w:proofErr w:type="spellEnd"/>
      <w:r w:rsidRPr="003B28D2">
        <w:t>, and guided reinvention in Discrete Mathematics learning.</w:t>
      </w:r>
    </w:p>
    <w:p w14:paraId="32FCBEAA" w14:textId="77777777" w:rsidR="009C30E3" w:rsidRPr="000268F0" w:rsidRDefault="009C30E3" w:rsidP="006E3151">
      <w:pPr>
        <w:pStyle w:val="IEEEParagraph"/>
        <w:spacing w:line="276" w:lineRule="auto"/>
      </w:pPr>
    </w:p>
    <w:p w14:paraId="12D2B067" w14:textId="404F95CC" w:rsidR="00580E6E" w:rsidRDefault="00580E6E" w:rsidP="006E3151">
      <w:pPr>
        <w:pStyle w:val="IEEEParagraph"/>
        <w:spacing w:line="276" w:lineRule="auto"/>
        <w:ind w:firstLine="0"/>
        <w:jc w:val="center"/>
        <w:rPr>
          <w:rStyle w:val="longtext"/>
          <w:shd w:val="clear" w:color="auto" w:fill="FFFFFF"/>
          <w:lang w:val="sv-SE"/>
        </w:rPr>
      </w:pPr>
      <w:r>
        <w:rPr>
          <w:b/>
          <w:sz w:val="28"/>
          <w:szCs w:val="28"/>
        </w:rPr>
        <w:t xml:space="preserve">4. </w:t>
      </w:r>
      <w:r w:rsidRPr="00AE7651">
        <w:rPr>
          <w:b/>
          <w:sz w:val="28"/>
          <w:szCs w:val="28"/>
        </w:rPr>
        <w:t xml:space="preserve">Conclusion </w:t>
      </w:r>
    </w:p>
    <w:p w14:paraId="3C904647" w14:textId="77777777" w:rsidR="00E332EA" w:rsidRPr="003B28D2" w:rsidRDefault="00E332EA" w:rsidP="00E332EA">
      <w:pPr>
        <w:spacing w:line="276" w:lineRule="auto"/>
        <w:ind w:firstLine="720"/>
        <w:jc w:val="both"/>
        <w:rPr>
          <w:color w:val="000000"/>
        </w:rPr>
      </w:pPr>
      <w:r w:rsidRPr="003B28D2">
        <w:rPr>
          <w:color w:val="000000"/>
        </w:rPr>
        <w:t xml:space="preserve">This study reveals that the two students investigated demonstrate strong procedural and symbolic proficiency but limited conceptual understanding within the RME framework. Both participants were able to manipulate formal rules and produce correct symbolic proofs, yet their </w:t>
      </w:r>
      <w:r w:rsidRPr="003B28D2">
        <w:rPr>
          <w:color w:val="000000"/>
        </w:rPr>
        <w:lastRenderedPageBreak/>
        <w:t>reasoning did not reflect horizontal mathematization, contextual interpretation, or the use of emergent models. Student A showed consistent vertical formalization, while Student B provided partial conceptual explanations but lacked systematic justification. These findings suggest that reliance on symbolic instruction alone leads to imitative rather than creative or relational reasoning. Strengthening RME-based instructional design—through contextual tasks, visual models, and guided reinvention—is essential to help students build deeper proportional reasoning. Future studies should expand the participant pool and investigate long-term learning trajectories to better understand how RME principles can support more robust conceptual development in higher mathematics.</w:t>
      </w:r>
    </w:p>
    <w:p w14:paraId="7659CD1D" w14:textId="77777777" w:rsidR="00633178" w:rsidRPr="000268F0" w:rsidRDefault="00633178" w:rsidP="006E3151">
      <w:pPr>
        <w:pStyle w:val="IEEEParagraph"/>
        <w:spacing w:line="276" w:lineRule="auto"/>
        <w:rPr>
          <w:lang w:val="id-ID"/>
        </w:rPr>
      </w:pPr>
    </w:p>
    <w:p w14:paraId="4E18CFD2" w14:textId="4F5271B0" w:rsidR="00580E6E" w:rsidRDefault="00580E6E" w:rsidP="006E3151">
      <w:pPr>
        <w:pStyle w:val="IEEEParagraph"/>
        <w:spacing w:line="276" w:lineRule="auto"/>
        <w:ind w:firstLine="0"/>
        <w:jc w:val="center"/>
        <w:rPr>
          <w:rStyle w:val="longtext"/>
          <w:shd w:val="clear" w:color="auto" w:fill="FFFFFF"/>
          <w:lang w:val="sv-SE"/>
        </w:rPr>
      </w:pPr>
      <w:r>
        <w:rPr>
          <w:b/>
          <w:sz w:val="28"/>
          <w:szCs w:val="28"/>
          <w:lang w:val="en-IN"/>
        </w:rPr>
        <w:t xml:space="preserve">5. </w:t>
      </w:r>
      <w:r w:rsidRPr="00AE7651">
        <w:rPr>
          <w:b/>
          <w:sz w:val="28"/>
          <w:szCs w:val="28"/>
          <w:lang w:val="id-ID"/>
        </w:rPr>
        <w:t>Acknowledgement</w:t>
      </w:r>
      <w:r w:rsidRPr="00AE7651">
        <w:rPr>
          <w:b/>
          <w:sz w:val="28"/>
          <w:szCs w:val="28"/>
        </w:rPr>
        <w:t xml:space="preserve">s </w:t>
      </w:r>
    </w:p>
    <w:p w14:paraId="1D89444C" w14:textId="24C4A5D9" w:rsidR="00580E6E" w:rsidRDefault="00F91068" w:rsidP="00F91068">
      <w:pPr>
        <w:pStyle w:val="IEEEParagraph"/>
        <w:spacing w:line="276" w:lineRule="auto"/>
        <w:ind w:firstLine="720"/>
        <w:rPr>
          <w:rStyle w:val="longtext"/>
          <w:shd w:val="clear" w:color="auto" w:fill="FFFFFF"/>
          <w:lang w:val="sv-SE"/>
        </w:rPr>
      </w:pPr>
      <w:r w:rsidRPr="00F91068">
        <w:rPr>
          <w:rStyle w:val="longtext"/>
          <w:shd w:val="clear" w:color="auto" w:fill="FFFFFF"/>
          <w:lang w:val="sv-SE"/>
        </w:rPr>
        <w:t>The authors gratefully acknowledge the support of the participating students and teachers whose involvement made this study possible. We extend our appreciation to the leadership and academic staff of Universitas Muhammadiyah Bengkulu, Universitas Bengkulu, and Universitas Muhammadiyah Sampit for providing the institutional environment necessary for completing this research. We also thank the reviewers and colleagues who offered valuable insights and suggestions that strengthened the final version of this manuscript. The authors assume full responsibility for any remaining shortcomings.</w:t>
      </w:r>
    </w:p>
    <w:p w14:paraId="271B2C75" w14:textId="77777777" w:rsidR="00F91068" w:rsidRDefault="00F91068" w:rsidP="00F91068">
      <w:pPr>
        <w:pStyle w:val="IEEEParagraph"/>
        <w:spacing w:line="276" w:lineRule="auto"/>
        <w:ind w:firstLine="720"/>
        <w:rPr>
          <w:rStyle w:val="longtext"/>
          <w:shd w:val="clear" w:color="auto" w:fill="FFFFFF"/>
          <w:lang w:val="sv-SE"/>
        </w:rPr>
      </w:pPr>
    </w:p>
    <w:p w14:paraId="59827F26" w14:textId="38F6258A" w:rsidR="00580E6E" w:rsidRPr="00580E6E" w:rsidRDefault="00580E6E" w:rsidP="006E3151">
      <w:pPr>
        <w:pStyle w:val="IEEEParagraph"/>
        <w:spacing w:line="276" w:lineRule="auto"/>
        <w:ind w:firstLine="0"/>
        <w:jc w:val="center"/>
        <w:rPr>
          <w:shd w:val="clear" w:color="auto" w:fill="FFFFFF"/>
          <w:lang w:val="sv-SE"/>
        </w:rPr>
      </w:pPr>
      <w:r>
        <w:rPr>
          <w:b/>
          <w:sz w:val="28"/>
          <w:szCs w:val="28"/>
        </w:rPr>
        <w:t xml:space="preserve">6. </w:t>
      </w:r>
      <w:r w:rsidRPr="00AE7651">
        <w:rPr>
          <w:b/>
          <w:sz w:val="28"/>
          <w:szCs w:val="28"/>
        </w:rPr>
        <w:t xml:space="preserve">References </w:t>
      </w:r>
    </w:p>
    <w:p w14:paraId="13C8F8EF" w14:textId="77777777" w:rsidR="00E332EA" w:rsidRPr="003B28D2" w:rsidRDefault="00E332EA" w:rsidP="00E332EA">
      <w:pPr>
        <w:spacing w:line="276" w:lineRule="auto"/>
        <w:ind w:left="426" w:hanging="426"/>
        <w:jc w:val="both"/>
      </w:pPr>
      <w:r w:rsidRPr="003B28D2">
        <w:t xml:space="preserve">Bakker, A., Van </w:t>
      </w:r>
      <w:proofErr w:type="spellStart"/>
      <w:r w:rsidRPr="003B28D2">
        <w:t>Dooren</w:t>
      </w:r>
      <w:proofErr w:type="spellEnd"/>
      <w:r w:rsidRPr="003B28D2">
        <w:t xml:space="preserve">, W., &amp; </w:t>
      </w:r>
      <w:proofErr w:type="spellStart"/>
      <w:r w:rsidRPr="003B28D2">
        <w:t>Gravemeijer</w:t>
      </w:r>
      <w:proofErr w:type="spellEnd"/>
      <w:r w:rsidRPr="003B28D2">
        <w:t xml:space="preserve">, K. (2021). Scaffolding mathematical conceptual development through emergent </w:t>
      </w:r>
      <w:proofErr w:type="spellStart"/>
      <w:r w:rsidRPr="003B28D2">
        <w:t>modeling</w:t>
      </w:r>
      <w:proofErr w:type="spellEnd"/>
      <w:r w:rsidRPr="003B28D2">
        <w:t xml:space="preserve">. Journal of Mathematical </w:t>
      </w:r>
      <w:proofErr w:type="spellStart"/>
      <w:r w:rsidRPr="003B28D2">
        <w:t>Behavior</w:t>
      </w:r>
      <w:proofErr w:type="spellEnd"/>
      <w:r w:rsidRPr="003B28D2">
        <w:t>, 62, 100876.</w:t>
      </w:r>
    </w:p>
    <w:p w14:paraId="200293C3" w14:textId="77777777" w:rsidR="00E332EA" w:rsidRPr="003B28D2" w:rsidRDefault="00E332EA" w:rsidP="00E332EA">
      <w:pPr>
        <w:spacing w:line="276" w:lineRule="auto"/>
        <w:ind w:left="426" w:hanging="426"/>
        <w:jc w:val="both"/>
      </w:pPr>
      <w:proofErr w:type="spellStart"/>
      <w:r w:rsidRPr="003B28D2">
        <w:t>Boesen</w:t>
      </w:r>
      <w:proofErr w:type="spellEnd"/>
      <w:r w:rsidRPr="003B28D2">
        <w:t xml:space="preserve">, J., </w:t>
      </w:r>
      <w:proofErr w:type="spellStart"/>
      <w:r w:rsidRPr="003B28D2">
        <w:t>Lithner</w:t>
      </w:r>
      <w:proofErr w:type="spellEnd"/>
      <w:r w:rsidRPr="003B28D2">
        <w:t>, J., Palm, T., &amp; Silver, E. A. (2021). The role of reasoning in mathematics education. Educational Studies in Mathematics, 106(3), 393–409.</w:t>
      </w:r>
    </w:p>
    <w:p w14:paraId="1DEB5664" w14:textId="77777777" w:rsidR="00E332EA" w:rsidRPr="003B28D2" w:rsidRDefault="00E332EA" w:rsidP="00E332EA">
      <w:pPr>
        <w:spacing w:line="276" w:lineRule="auto"/>
        <w:ind w:left="426" w:hanging="426"/>
        <w:jc w:val="both"/>
      </w:pPr>
      <w:r w:rsidRPr="003B28D2">
        <w:t xml:space="preserve">De Corte, E., &amp; </w:t>
      </w:r>
      <w:proofErr w:type="spellStart"/>
      <w:r w:rsidRPr="003B28D2">
        <w:t>Verschaffel</w:t>
      </w:r>
      <w:proofErr w:type="spellEnd"/>
      <w:r w:rsidRPr="003B28D2">
        <w:t>, L. (2019). Enhancing proportional reasoning through realistic tasks. Mathematics Education Research Journal, 31(2), 123–140.</w:t>
      </w:r>
    </w:p>
    <w:p w14:paraId="685DF6CB" w14:textId="77777777" w:rsidR="00E332EA" w:rsidRPr="003B28D2" w:rsidRDefault="00E332EA" w:rsidP="00E332EA">
      <w:pPr>
        <w:spacing w:line="276" w:lineRule="auto"/>
        <w:ind w:left="426" w:hanging="426"/>
        <w:jc w:val="both"/>
      </w:pPr>
      <w:proofErr w:type="spellStart"/>
      <w:r w:rsidRPr="003B28D2">
        <w:t>Degrande</w:t>
      </w:r>
      <w:proofErr w:type="spellEnd"/>
      <w:r w:rsidRPr="003B28D2">
        <w:t xml:space="preserve">, T., </w:t>
      </w:r>
      <w:proofErr w:type="spellStart"/>
      <w:r w:rsidRPr="003B28D2">
        <w:t>Verschaffel</w:t>
      </w:r>
      <w:proofErr w:type="spellEnd"/>
      <w:r w:rsidRPr="003B28D2">
        <w:t xml:space="preserve">, L., &amp; Van </w:t>
      </w:r>
      <w:proofErr w:type="spellStart"/>
      <w:r w:rsidRPr="003B28D2">
        <w:t>Dooren</w:t>
      </w:r>
      <w:proofErr w:type="spellEnd"/>
      <w:r w:rsidRPr="003B28D2">
        <w:t>, W. (2019). Students’ strategies in proportional reasoning tasks. ZDM Mathematics Education, 51(6), 1017–1030.</w:t>
      </w:r>
    </w:p>
    <w:p w14:paraId="77D1B9FC" w14:textId="77777777" w:rsidR="00E332EA" w:rsidRPr="003B28D2" w:rsidRDefault="00E332EA" w:rsidP="00E332EA">
      <w:pPr>
        <w:spacing w:line="276" w:lineRule="auto"/>
        <w:ind w:left="426" w:hanging="426"/>
        <w:jc w:val="both"/>
      </w:pPr>
      <w:r w:rsidRPr="003B28D2">
        <w:t xml:space="preserve">Doorman, M., </w:t>
      </w:r>
      <w:proofErr w:type="spellStart"/>
      <w:r w:rsidRPr="003B28D2">
        <w:t>Gravemeijer</w:t>
      </w:r>
      <w:proofErr w:type="spellEnd"/>
      <w:r w:rsidRPr="003B28D2">
        <w:t>, K., &amp; Van den Heuvel-</w:t>
      </w:r>
      <w:proofErr w:type="spellStart"/>
      <w:r w:rsidRPr="003B28D2">
        <w:t>Panhuizen</w:t>
      </w:r>
      <w:proofErr w:type="spellEnd"/>
      <w:r w:rsidRPr="003B28D2">
        <w:t>, M. (2021). RME and mathematization revisited. Journal of Mathematics Education Research, 14(2), 67–85.</w:t>
      </w:r>
    </w:p>
    <w:p w14:paraId="43D8FC7F" w14:textId="77777777" w:rsidR="00E332EA" w:rsidRPr="003B28D2" w:rsidRDefault="00E332EA" w:rsidP="00E332EA">
      <w:pPr>
        <w:spacing w:line="276" w:lineRule="auto"/>
        <w:ind w:left="426" w:hanging="426"/>
        <w:jc w:val="both"/>
      </w:pPr>
      <w:r w:rsidRPr="003B28D2">
        <w:t xml:space="preserve">Fernández, C., &amp; </w:t>
      </w:r>
      <w:proofErr w:type="spellStart"/>
      <w:r w:rsidRPr="003B28D2">
        <w:t>Llinares</w:t>
      </w:r>
      <w:proofErr w:type="spellEnd"/>
      <w:r w:rsidRPr="003B28D2">
        <w:t>, S. (2020). Students’ additive vs. multiplicative strategies in proportional situations. Educational Studies in Mathematics, 103(1), 55–72.</w:t>
      </w:r>
    </w:p>
    <w:p w14:paraId="765B6907" w14:textId="77777777" w:rsidR="00E332EA" w:rsidRPr="003B28D2" w:rsidRDefault="00E332EA" w:rsidP="00E332EA">
      <w:pPr>
        <w:spacing w:line="276" w:lineRule="auto"/>
        <w:ind w:left="426" w:hanging="426"/>
        <w:jc w:val="both"/>
      </w:pPr>
      <w:r w:rsidRPr="003B28D2">
        <w:t xml:space="preserve">Fernández, C., </w:t>
      </w:r>
      <w:proofErr w:type="spellStart"/>
      <w:r w:rsidRPr="003B28D2">
        <w:t>Llinares</w:t>
      </w:r>
      <w:proofErr w:type="spellEnd"/>
      <w:r w:rsidRPr="003B28D2">
        <w:t>, S., &amp; Valls, J. (2021). Understanding proportional reasoning errors. International Journal of STEM Education, 8(44), 1–15.</w:t>
      </w:r>
    </w:p>
    <w:p w14:paraId="2BD92A07" w14:textId="77777777" w:rsidR="00E332EA" w:rsidRPr="003B28D2" w:rsidRDefault="00E332EA" w:rsidP="00E332EA">
      <w:pPr>
        <w:spacing w:line="276" w:lineRule="auto"/>
        <w:ind w:left="426" w:hanging="426"/>
        <w:jc w:val="both"/>
      </w:pPr>
      <w:proofErr w:type="spellStart"/>
      <w:r w:rsidRPr="003B28D2">
        <w:t>Fonger</w:t>
      </w:r>
      <w:proofErr w:type="spellEnd"/>
      <w:r w:rsidRPr="003B28D2">
        <w:t xml:space="preserve">, N. L., Ellis, A. B., &amp; Dogan, M. F. (2021). Meaningful </w:t>
      </w:r>
      <w:proofErr w:type="spellStart"/>
      <w:r w:rsidRPr="003B28D2">
        <w:t>modeling</w:t>
      </w:r>
      <w:proofErr w:type="spellEnd"/>
      <w:r w:rsidRPr="003B28D2">
        <w:t xml:space="preserve"> in proportional reasoning. Mathematical Thinking and Learning, 23(4), 335–360.</w:t>
      </w:r>
    </w:p>
    <w:p w14:paraId="452E2B61" w14:textId="77777777" w:rsidR="00E332EA" w:rsidRPr="003B28D2" w:rsidRDefault="00E332EA" w:rsidP="00E332EA">
      <w:pPr>
        <w:spacing w:line="276" w:lineRule="auto"/>
        <w:ind w:left="426" w:hanging="426"/>
        <w:jc w:val="both"/>
      </w:pPr>
      <w:proofErr w:type="spellStart"/>
      <w:r w:rsidRPr="003B28D2">
        <w:t>Gravemeijer</w:t>
      </w:r>
      <w:proofErr w:type="spellEnd"/>
      <w:r w:rsidRPr="003B28D2">
        <w:t>, K., &amp; Bakker, A. (2018). Design research with RME principles. Educational Designer, 12, 1–29.</w:t>
      </w:r>
    </w:p>
    <w:p w14:paraId="1743041A" w14:textId="77777777" w:rsidR="00E332EA" w:rsidRPr="003B28D2" w:rsidRDefault="00E332EA" w:rsidP="00E332EA">
      <w:pPr>
        <w:spacing w:line="276" w:lineRule="auto"/>
        <w:ind w:left="426" w:hanging="426"/>
        <w:jc w:val="both"/>
      </w:pPr>
      <w:r w:rsidRPr="003B28D2">
        <w:t xml:space="preserve">Greer, B. (2020). Real-world contexts in proportional reasoning. Journal of Mathematical </w:t>
      </w:r>
      <w:proofErr w:type="spellStart"/>
      <w:r w:rsidRPr="003B28D2">
        <w:t>Behavior</w:t>
      </w:r>
      <w:proofErr w:type="spellEnd"/>
      <w:r w:rsidRPr="003B28D2">
        <w:t>, 59, 100784.</w:t>
      </w:r>
    </w:p>
    <w:p w14:paraId="01012773" w14:textId="77777777" w:rsidR="00E332EA" w:rsidRPr="003B28D2" w:rsidRDefault="00E332EA" w:rsidP="00E332EA">
      <w:pPr>
        <w:spacing w:line="276" w:lineRule="auto"/>
        <w:ind w:left="426" w:hanging="426"/>
        <w:jc w:val="both"/>
      </w:pPr>
      <w:r w:rsidRPr="003B28D2">
        <w:t xml:space="preserve">Hilton, A., </w:t>
      </w:r>
      <w:proofErr w:type="spellStart"/>
      <w:r w:rsidRPr="003B28D2">
        <w:t>Jeong</w:t>
      </w:r>
      <w:proofErr w:type="spellEnd"/>
      <w:r w:rsidRPr="003B28D2">
        <w:t>, J., &amp; Moore, J. (2021). Common misconceptions in secondary proportional reasoning. Research in Mathematics Education, 23(3), 215–233.</w:t>
      </w:r>
    </w:p>
    <w:p w14:paraId="24531DA0" w14:textId="77777777" w:rsidR="00E332EA" w:rsidRPr="003B28D2" w:rsidRDefault="00E332EA" w:rsidP="00E332EA">
      <w:pPr>
        <w:spacing w:line="276" w:lineRule="auto"/>
        <w:ind w:left="426" w:hanging="426"/>
        <w:jc w:val="both"/>
      </w:pPr>
      <w:proofErr w:type="spellStart"/>
      <w:r w:rsidRPr="003B28D2">
        <w:lastRenderedPageBreak/>
        <w:t>Jeong</w:t>
      </w:r>
      <w:proofErr w:type="spellEnd"/>
      <w:r w:rsidRPr="003B28D2">
        <w:t>, J., Hilton, A., &amp; Kim, H. (2022). Supporting proportional reasoning through contextual tasks. International Journal of Science and Mathematics Education, 20(5), 987–1008.</w:t>
      </w:r>
    </w:p>
    <w:p w14:paraId="23A45B78" w14:textId="77777777" w:rsidR="00E332EA" w:rsidRPr="003B28D2" w:rsidRDefault="00E332EA" w:rsidP="00E332EA">
      <w:pPr>
        <w:spacing w:line="276" w:lineRule="auto"/>
        <w:ind w:left="426" w:hanging="426"/>
        <w:jc w:val="both"/>
      </w:pPr>
      <w:r w:rsidRPr="003B28D2">
        <w:t>Lamon, S. (2020). Teaching fractions and proportional reasoning. Routledge.</w:t>
      </w:r>
    </w:p>
    <w:p w14:paraId="7355CF7D" w14:textId="77777777" w:rsidR="00E332EA" w:rsidRPr="003B28D2" w:rsidRDefault="00E332EA" w:rsidP="00E332EA">
      <w:pPr>
        <w:spacing w:line="276" w:lineRule="auto"/>
        <w:ind w:left="426" w:hanging="426"/>
        <w:jc w:val="both"/>
      </w:pPr>
      <w:proofErr w:type="spellStart"/>
      <w:r w:rsidRPr="003B28D2">
        <w:t>Lithner</w:t>
      </w:r>
      <w:proofErr w:type="spellEnd"/>
      <w:r w:rsidRPr="003B28D2">
        <w:t>, J. (2017). Principles of creative mathematical reasoning. Nordic Studies in Mathematics Education, 22(3), 5–32.</w:t>
      </w:r>
    </w:p>
    <w:p w14:paraId="3E05DC25" w14:textId="77777777" w:rsidR="00E332EA" w:rsidRPr="003B28D2" w:rsidRDefault="00E332EA" w:rsidP="00E332EA">
      <w:pPr>
        <w:spacing w:line="276" w:lineRule="auto"/>
        <w:ind w:left="426" w:hanging="426"/>
        <w:jc w:val="both"/>
      </w:pPr>
      <w:r w:rsidRPr="003B28D2">
        <w:t>Oliveira, H., Barbosa, J. C., &amp; Pinto, P. (2023). Double number lines and proportional reasoning. Mathematics Education Research Journal, 35(2), 345–367.</w:t>
      </w:r>
    </w:p>
    <w:p w14:paraId="01DB3EB4" w14:textId="77777777" w:rsidR="00E332EA" w:rsidRPr="003B28D2" w:rsidRDefault="00E332EA" w:rsidP="00E332EA">
      <w:pPr>
        <w:spacing w:line="276" w:lineRule="auto"/>
        <w:ind w:left="426" w:hanging="426"/>
        <w:jc w:val="both"/>
      </w:pPr>
      <w:r w:rsidRPr="003B28D2">
        <w:t xml:space="preserve">Putri, R. I. I., &amp; </w:t>
      </w:r>
      <w:proofErr w:type="spellStart"/>
      <w:r w:rsidRPr="003B28D2">
        <w:t>Zulkardi</w:t>
      </w:r>
      <w:proofErr w:type="spellEnd"/>
      <w:r w:rsidRPr="003B28D2">
        <w:t>. (2020). RME-based tasks for enhancing students' reasoning. Journal on Mathematics Education, 11(1), 135–152.</w:t>
      </w:r>
    </w:p>
    <w:p w14:paraId="530128E6" w14:textId="77777777" w:rsidR="00E332EA" w:rsidRPr="003B28D2" w:rsidRDefault="00E332EA" w:rsidP="00E332EA">
      <w:pPr>
        <w:spacing w:line="276" w:lineRule="auto"/>
        <w:ind w:left="426" w:hanging="426"/>
        <w:jc w:val="both"/>
      </w:pPr>
      <w:r w:rsidRPr="003B28D2">
        <w:t xml:space="preserve">Putri, R. I. I., </w:t>
      </w:r>
      <w:proofErr w:type="spellStart"/>
      <w:r w:rsidRPr="003B28D2">
        <w:t>Zulkardi</w:t>
      </w:r>
      <w:proofErr w:type="spellEnd"/>
      <w:r w:rsidRPr="003B28D2">
        <w:t>, &amp; Sari, D. R. (2021). Cultural context in RME learning. International Electronic Journal of Mathematics Education, 16(3), 1–15.</w:t>
      </w:r>
    </w:p>
    <w:p w14:paraId="6E8AF185" w14:textId="77777777" w:rsidR="00E332EA" w:rsidRPr="003B28D2" w:rsidRDefault="00E332EA" w:rsidP="00E332EA">
      <w:pPr>
        <w:spacing w:line="276" w:lineRule="auto"/>
        <w:ind w:left="426" w:hanging="426"/>
        <w:jc w:val="both"/>
      </w:pPr>
      <w:r w:rsidRPr="003B28D2">
        <w:t>Sari, D. R., &amp; Putri, R. I. I. (2021). RME to improve reasoning. Journal of Physics: Conference Series, 1836, 012084.</w:t>
      </w:r>
    </w:p>
    <w:p w14:paraId="636076B9" w14:textId="77777777" w:rsidR="00E332EA" w:rsidRPr="003B28D2" w:rsidRDefault="00E332EA" w:rsidP="00E332EA">
      <w:pPr>
        <w:spacing w:line="276" w:lineRule="auto"/>
        <w:ind w:left="426" w:hanging="426"/>
        <w:jc w:val="both"/>
      </w:pPr>
      <w:r w:rsidRPr="003B28D2">
        <w:t>Shimada, S., &amp; Becker, J. (2022). RME and student reasoning development. Educational Studies in Mathematics, 111(1), 89–109.</w:t>
      </w:r>
    </w:p>
    <w:p w14:paraId="06B77758" w14:textId="77777777" w:rsidR="00E332EA" w:rsidRPr="003B28D2" w:rsidRDefault="00E332EA" w:rsidP="00E332EA">
      <w:pPr>
        <w:spacing w:line="276" w:lineRule="auto"/>
        <w:ind w:left="426" w:hanging="426"/>
        <w:jc w:val="both"/>
      </w:pPr>
      <w:r w:rsidRPr="003B28D2">
        <w:t>Siegler, R., Thompson, C., &amp; Schneider, M. (2020). Students' strategies in proportional reasoning. *Journal of Educational Psychology, 112(7), 1251–1263.</w:t>
      </w:r>
    </w:p>
    <w:p w14:paraId="476A202B" w14:textId="77777777" w:rsidR="00E332EA" w:rsidRPr="003B28D2" w:rsidRDefault="00E332EA" w:rsidP="00E332EA">
      <w:pPr>
        <w:spacing w:line="276" w:lineRule="auto"/>
        <w:ind w:left="426" w:hanging="426"/>
        <w:jc w:val="both"/>
      </w:pPr>
      <w:r w:rsidRPr="003B28D2">
        <w:t>Van den Heuvel-</w:t>
      </w:r>
      <w:proofErr w:type="spellStart"/>
      <w:r w:rsidRPr="003B28D2">
        <w:t>Panhuizen</w:t>
      </w:r>
      <w:proofErr w:type="spellEnd"/>
      <w:r w:rsidRPr="003B28D2">
        <w:t>, M. (2020). The legacy of RME. Journal of Mathematics Education, 13(1), 1–12.</w:t>
      </w:r>
    </w:p>
    <w:p w14:paraId="4D60EA1C" w14:textId="77777777" w:rsidR="00E332EA" w:rsidRPr="003B28D2" w:rsidRDefault="00E332EA" w:rsidP="00E332EA">
      <w:pPr>
        <w:spacing w:line="276" w:lineRule="auto"/>
        <w:ind w:left="426" w:hanging="426"/>
        <w:jc w:val="both"/>
      </w:pPr>
      <w:r w:rsidRPr="003B28D2">
        <w:t xml:space="preserve">Van </w:t>
      </w:r>
      <w:proofErr w:type="spellStart"/>
      <w:r w:rsidRPr="003B28D2">
        <w:t>Dooren</w:t>
      </w:r>
      <w:proofErr w:type="spellEnd"/>
      <w:r w:rsidRPr="003B28D2">
        <w:t xml:space="preserve">, W., </w:t>
      </w:r>
      <w:proofErr w:type="spellStart"/>
      <w:r w:rsidRPr="003B28D2">
        <w:t>Degrande</w:t>
      </w:r>
      <w:proofErr w:type="spellEnd"/>
      <w:r w:rsidRPr="003B28D2">
        <w:t xml:space="preserve">, T., &amp; </w:t>
      </w:r>
      <w:proofErr w:type="spellStart"/>
      <w:r w:rsidRPr="003B28D2">
        <w:t>Verschaffel</w:t>
      </w:r>
      <w:proofErr w:type="spellEnd"/>
      <w:r w:rsidRPr="003B28D2">
        <w:t>, L. (2018). Overgeneralization in proportional reasoning. Learning and Instruction, 56, 1–11.</w:t>
      </w:r>
    </w:p>
    <w:p w14:paraId="01916F4C" w14:textId="0B45E759" w:rsidR="00BB13C6" w:rsidRPr="00F647CA" w:rsidRDefault="00BB13C6" w:rsidP="00E332EA">
      <w:pPr>
        <w:pStyle w:val="References"/>
        <w:spacing w:line="276" w:lineRule="auto"/>
        <w:rPr>
          <w:color w:val="000000" w:themeColor="text1"/>
          <w:lang w:val="en-IN" w:eastAsia="en-IN"/>
        </w:rPr>
      </w:pPr>
    </w:p>
    <w:sectPr w:rsidR="00BB13C6" w:rsidRPr="00F647CA" w:rsidSect="00076275">
      <w:headerReference w:type="even" r:id="rId8"/>
      <w:headerReference w:type="default" r:id="rId9"/>
      <w:headerReference w:type="first" r:id="rId10"/>
      <w:footerReference w:type="first" r:id="rId11"/>
      <w:type w:val="continuous"/>
      <w:pgSz w:w="11906" w:h="16838" w:code="9"/>
      <w:pgMar w:top="1440" w:right="1440" w:bottom="1440" w:left="1440" w:header="851" w:footer="567" w:gutter="0"/>
      <w:pgNumType w:start="39"/>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F04A" w14:textId="77777777" w:rsidR="00BD08CB" w:rsidRDefault="00BD08CB" w:rsidP="00A1414F">
      <w:r>
        <w:separator/>
      </w:r>
    </w:p>
  </w:endnote>
  <w:endnote w:type="continuationSeparator" w:id="0">
    <w:p w14:paraId="229E6F47" w14:textId="77777777" w:rsidR="00BD08CB" w:rsidRDefault="00BD08CB"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49FE" w14:textId="5B70B510" w:rsidR="00F22C0B" w:rsidRDefault="00F22C0B" w:rsidP="000D5B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3FCB" w14:textId="77777777" w:rsidR="00BD08CB" w:rsidRDefault="00BD08CB" w:rsidP="00A1414F">
      <w:r>
        <w:separator/>
      </w:r>
    </w:p>
  </w:footnote>
  <w:footnote w:type="continuationSeparator" w:id="0">
    <w:p w14:paraId="58508A74" w14:textId="77777777" w:rsidR="00BD08CB" w:rsidRDefault="00BD08CB"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57B2" w14:textId="4BE4B2D2" w:rsidR="00782C3F" w:rsidRPr="0077568E"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3D74B8">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5200C0" w:rsidRPr="005200C0">
      <w:rPr>
        <w:rFonts w:ascii="Century Gothic" w:hAnsi="Century Gothic"/>
        <w:b/>
        <w:sz w:val="16"/>
        <w:szCs w:val="16"/>
      </w:rPr>
      <w:t>Journal of Mathematics and Science Applications</w:t>
    </w:r>
    <w:r w:rsidR="0077568E" w:rsidRPr="005200C0">
      <w:rPr>
        <w:rFonts w:ascii="Century Gothic" w:hAnsi="Century Gothic"/>
        <w:b/>
        <w:sz w:val="16"/>
        <w:szCs w:val="16"/>
      </w:rPr>
      <w:t xml:space="preserve">| </w:t>
    </w:r>
    <w:r w:rsidR="00E20C19" w:rsidRPr="005200C0">
      <w:rPr>
        <w:rFonts w:ascii="Century Gothic" w:hAnsi="Century Gothic"/>
        <w:i/>
        <w:sz w:val="16"/>
        <w:szCs w:val="16"/>
        <w:lang w:val="id-ID"/>
      </w:rPr>
      <w:t>Vol.</w:t>
    </w:r>
    <w:r w:rsidR="00A12127" w:rsidRPr="005200C0">
      <w:rPr>
        <w:rFonts w:ascii="Century Gothic" w:hAnsi="Century Gothic"/>
        <w:i/>
        <w:sz w:val="16"/>
        <w:szCs w:val="16"/>
        <w:lang w:val="en-US"/>
      </w:rPr>
      <w:t xml:space="preserve"> </w:t>
    </w:r>
    <w:r w:rsidR="00B67CA7">
      <w:rPr>
        <w:rFonts w:ascii="Century Gothic" w:hAnsi="Century Gothic"/>
        <w:i/>
        <w:sz w:val="16"/>
        <w:szCs w:val="16"/>
        <w:lang w:val="en-US"/>
      </w:rPr>
      <w:t>3</w:t>
    </w:r>
    <w:r w:rsidR="00E20C19" w:rsidRPr="005200C0">
      <w:rPr>
        <w:rFonts w:ascii="Century Gothic" w:hAnsi="Century Gothic"/>
        <w:i/>
        <w:sz w:val="16"/>
        <w:szCs w:val="16"/>
        <w:lang w:val="id-ID"/>
      </w:rPr>
      <w:t>, No.</w:t>
    </w:r>
    <w:r w:rsidR="00332EA4" w:rsidRPr="005200C0">
      <w:rPr>
        <w:rFonts w:ascii="Century Gothic" w:hAnsi="Century Gothic"/>
        <w:i/>
        <w:sz w:val="16"/>
        <w:szCs w:val="16"/>
        <w:lang w:val="en-US"/>
      </w:rPr>
      <w:t xml:space="preserve"> </w:t>
    </w:r>
    <w:r w:rsidR="00B67CA7">
      <w:rPr>
        <w:rFonts w:ascii="Century Gothic" w:hAnsi="Century Gothic"/>
        <w:i/>
        <w:sz w:val="16"/>
        <w:szCs w:val="16"/>
        <w:lang w:val="en-US"/>
      </w:rPr>
      <w:t>1</w:t>
    </w:r>
    <w:r w:rsidR="00E20C19" w:rsidRPr="005200C0">
      <w:rPr>
        <w:rFonts w:ascii="Century Gothic" w:hAnsi="Century Gothic"/>
        <w:i/>
        <w:sz w:val="16"/>
        <w:szCs w:val="16"/>
        <w:lang w:val="id-ID"/>
      </w:rPr>
      <w:t xml:space="preserve">, </w:t>
    </w:r>
    <w:r w:rsidR="00B67CA7">
      <w:rPr>
        <w:rFonts w:ascii="Century Gothic" w:hAnsi="Century Gothic"/>
        <w:i/>
        <w:sz w:val="16"/>
        <w:szCs w:val="16"/>
        <w:lang w:val="en-US"/>
      </w:rPr>
      <w:t>June 2025</w:t>
    </w:r>
    <w:r w:rsidR="0000069A" w:rsidRPr="005200C0">
      <w:rPr>
        <w:rFonts w:ascii="Century Gothic" w:hAnsi="Century Gothic"/>
        <w:i/>
        <w:sz w:val="16"/>
        <w:szCs w:val="16"/>
        <w:lang w:val="id-ID"/>
      </w:rPr>
      <w:t xml:space="preserve">, </w:t>
    </w:r>
    <w:r w:rsidR="009B0A53" w:rsidRPr="005200C0">
      <w:rPr>
        <w:rFonts w:ascii="Century Gothic" w:hAnsi="Century Gothic"/>
        <w:i/>
        <w:sz w:val="16"/>
        <w:szCs w:val="16"/>
        <w:lang w:val="en-US"/>
      </w:rPr>
      <w:t>pp.</w:t>
    </w:r>
    <w:r w:rsidR="0000069A" w:rsidRPr="005200C0">
      <w:rPr>
        <w:rFonts w:ascii="Century Gothic" w:hAnsi="Century Gothic"/>
        <w:i/>
        <w:sz w:val="16"/>
        <w:szCs w:val="16"/>
        <w:lang w:val="en-US"/>
      </w:rPr>
      <w:t xml:space="preserve"> </w:t>
    </w:r>
    <w:r w:rsidR="00B67CA7">
      <w:rPr>
        <w:rFonts w:ascii="Century Gothic" w:hAnsi="Century Gothic"/>
        <w:i/>
        <w:sz w:val="16"/>
        <w:szCs w:val="16"/>
        <w:lang w:val="en-US"/>
      </w:rPr>
      <w:t>39</w:t>
    </w:r>
    <w:r w:rsidR="00A12127" w:rsidRPr="005200C0">
      <w:rPr>
        <w:rFonts w:ascii="Century Gothic" w:hAnsi="Century Gothic"/>
        <w:i/>
        <w:sz w:val="16"/>
        <w:szCs w:val="16"/>
        <w:lang w:val="en-US"/>
      </w:rPr>
      <w:t>-</w:t>
    </w:r>
    <w:r w:rsidR="00B67CA7">
      <w:rPr>
        <w:rFonts w:ascii="Century Gothic" w:hAnsi="Century Gothic"/>
        <w:i/>
        <w:sz w:val="16"/>
        <w:szCs w:val="16"/>
        <w:lang w:val="en-US"/>
      </w:rPr>
      <w:t>48</w:t>
    </w:r>
  </w:p>
  <w:p w14:paraId="0B1C0470"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D6BB" w14:textId="7D11103A"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proofErr w:type="spellStart"/>
    <w:r w:rsidR="00B67CA7" w:rsidRPr="00B67CA7">
      <w:rPr>
        <w:i/>
        <w:color w:val="FF0000"/>
        <w:sz w:val="20"/>
        <w:szCs w:val="20"/>
        <w:lang w:val="en-US"/>
      </w:rPr>
      <w:t>Desventri</w:t>
    </w:r>
    <w:proofErr w:type="spellEnd"/>
    <w:r w:rsidR="00B67CA7" w:rsidRPr="00B67CA7">
      <w:rPr>
        <w:i/>
        <w:color w:val="FF0000"/>
        <w:sz w:val="20"/>
        <w:szCs w:val="20"/>
        <w:lang w:val="en-US"/>
      </w:rPr>
      <w:t xml:space="preserve"> </w:t>
    </w:r>
    <w:proofErr w:type="spellStart"/>
    <w:r w:rsidR="00B67CA7" w:rsidRPr="00B67CA7">
      <w:rPr>
        <w:i/>
        <w:color w:val="FF0000"/>
        <w:sz w:val="20"/>
        <w:szCs w:val="20"/>
        <w:lang w:val="en-US"/>
      </w:rPr>
      <w:t>etmy</w:t>
    </w:r>
    <w:proofErr w:type="spellEnd"/>
    <w:r w:rsidRPr="000D5B9A">
      <w:rPr>
        <w:i/>
        <w:color w:val="FF0000"/>
        <w:sz w:val="20"/>
        <w:szCs w:val="20"/>
        <w:lang w:val="id-ID"/>
      </w:rPr>
      <w:t>,</w:t>
    </w:r>
    <w:r w:rsidR="00B67CA7" w:rsidRPr="00B67CA7">
      <w:t xml:space="preserve"> </w:t>
    </w:r>
    <w:r w:rsidR="00B67CA7" w:rsidRPr="00B67CA7">
      <w:rPr>
        <w:i/>
        <w:color w:val="FF0000"/>
        <w:sz w:val="20"/>
        <w:szCs w:val="20"/>
        <w:lang w:val="id-ID"/>
      </w:rPr>
      <w:t>Understanding Students’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3D74B8">
      <w:rPr>
        <w:noProof/>
        <w:sz w:val="20"/>
        <w:szCs w:val="20"/>
      </w:rPr>
      <w:t>3</w:t>
    </w:r>
    <w:r w:rsidR="00842B65" w:rsidRPr="001A1D29">
      <w:rPr>
        <w:noProof/>
        <w:sz w:val="20"/>
        <w:szCs w:val="20"/>
      </w:rPr>
      <w:fldChar w:fldCharType="end"/>
    </w:r>
  </w:p>
  <w:p w14:paraId="50C89AB3" w14:textId="77777777" w:rsidR="00782C3F" w:rsidRDefault="00782C3F" w:rsidP="00E20C19">
    <w:pPr>
      <w:pStyle w:val="Header"/>
      <w:jc w:val="right"/>
      <w:rPr>
        <w:noProof/>
        <w:sz w:val="20"/>
        <w:szCs w:val="20"/>
      </w:rPr>
    </w:pPr>
  </w:p>
  <w:p w14:paraId="3AE3ABE8"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2827" w14:textId="0F9733F3" w:rsidR="00BF4618" w:rsidRDefault="00E332EA" w:rsidP="008168FA">
    <w:pPr>
      <w:pStyle w:val="Header"/>
      <w:tabs>
        <w:tab w:val="clear" w:pos="4680"/>
        <w:tab w:val="clear" w:pos="9360"/>
        <w:tab w:val="left" w:pos="2650"/>
      </w:tabs>
      <w:rPr>
        <w:noProof/>
        <w:lang w:val="en-US" w:eastAsia="en-US"/>
      </w:rPr>
    </w:pPr>
    <w:r>
      <w:rPr>
        <w:noProof/>
        <w:lang w:val="en-US" w:eastAsia="en-US"/>
      </w:rPr>
      <mc:AlternateContent>
        <mc:Choice Requires="wps">
          <w:drawing>
            <wp:anchor distT="0" distB="0" distL="114300" distR="114300" simplePos="0" relativeHeight="251657728" behindDoc="1" locked="0" layoutInCell="1" allowOverlap="1" wp14:anchorId="3ED0DD9A" wp14:editId="5F9FC6B7">
              <wp:simplePos x="0" y="0"/>
              <wp:positionH relativeFrom="column">
                <wp:posOffset>8890</wp:posOffset>
              </wp:positionH>
              <wp:positionV relativeFrom="paragraph">
                <wp:posOffset>-33655</wp:posOffset>
              </wp:positionV>
              <wp:extent cx="3747770" cy="560070"/>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770" cy="560070"/>
                      </a:xfrm>
                      <a:prstGeom prst="rect">
                        <a:avLst/>
                      </a:prstGeom>
                      <a:solidFill>
                        <a:srgbClr val="FFFFFF">
                          <a:alpha val="0"/>
                        </a:srgbClr>
                      </a:solidFill>
                      <a:ln w="0">
                        <a:solidFill>
                          <a:schemeClr val="bg1">
                            <a:lumMod val="100000"/>
                            <a:lumOff val="0"/>
                          </a:schemeClr>
                        </a:solidFill>
                        <a:miter lim="800000"/>
                        <a:headEnd/>
                        <a:tailEnd/>
                      </a:ln>
                    </wps:spPr>
                    <wps:txbx>
                      <w:txbxContent>
                        <w:p w14:paraId="3A97EC87" w14:textId="199001A6" w:rsidR="008168FA" w:rsidRPr="00B01181" w:rsidRDefault="005200C0" w:rsidP="008168FA">
                          <w:pPr>
                            <w:jc w:val="both"/>
                            <w:rPr>
                              <w:rFonts w:ascii="Century Gothic" w:hAnsi="Century Gothic"/>
                              <w:b/>
                            </w:rPr>
                          </w:pPr>
                          <w:r w:rsidRPr="005200C0">
                            <w:rPr>
                              <w:rFonts w:ascii="Century Gothic" w:hAnsi="Century Gothic"/>
                              <w:b/>
                              <w:sz w:val="18"/>
                              <w:szCs w:val="16"/>
                            </w:rPr>
                            <w:t xml:space="preserve">Journal of Mathematics and </w:t>
                          </w:r>
                          <w:r w:rsidR="00002F64">
                            <w:rPr>
                              <w:rFonts w:ascii="Century Gothic" w:hAnsi="Century Gothic"/>
                              <w:b/>
                              <w:sz w:val="18"/>
                              <w:szCs w:val="16"/>
                            </w:rPr>
                            <w:t xml:space="preserve">Applied </w:t>
                          </w:r>
                          <w:r w:rsidRPr="005200C0">
                            <w:rPr>
                              <w:rFonts w:ascii="Century Gothic" w:hAnsi="Century Gothic"/>
                              <w:b/>
                              <w:sz w:val="18"/>
                              <w:szCs w:val="16"/>
                            </w:rPr>
                            <w:t>S</w:t>
                          </w:r>
                          <w:r w:rsidR="00002F64">
                            <w:rPr>
                              <w:rFonts w:ascii="Century Gothic" w:hAnsi="Century Gothic"/>
                              <w:b/>
                              <w:sz w:val="18"/>
                              <w:szCs w:val="16"/>
                            </w:rPr>
                            <w:t>tatistics</w:t>
                          </w:r>
                        </w:p>
                        <w:p w14:paraId="1EB4D402" w14:textId="77777777" w:rsidR="008168FA" w:rsidRPr="008118E5" w:rsidRDefault="008168FA" w:rsidP="008168FA">
                          <w:pPr>
                            <w:jc w:val="both"/>
                            <w:rPr>
                              <w:rFonts w:ascii="Century" w:hAnsi="Century"/>
                              <w:sz w:val="2"/>
                              <w:szCs w:val="16"/>
                            </w:rPr>
                          </w:pPr>
                        </w:p>
                        <w:p w14:paraId="26884257" w14:textId="1E6E3768"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B67CA7">
                            <w:rPr>
                              <w:rFonts w:ascii="Century Gothic" w:hAnsi="Century Gothic"/>
                              <w:sz w:val="18"/>
                              <w:szCs w:val="16"/>
                            </w:rPr>
                            <w:t>3</w:t>
                          </w:r>
                          <w:r w:rsidRPr="008118E5">
                            <w:rPr>
                              <w:rFonts w:ascii="Century Gothic" w:hAnsi="Century Gothic"/>
                              <w:sz w:val="18"/>
                              <w:szCs w:val="16"/>
                            </w:rPr>
                            <w:t>, No.</w:t>
                          </w:r>
                          <w:r>
                            <w:rPr>
                              <w:rFonts w:ascii="Century Gothic" w:hAnsi="Century Gothic"/>
                              <w:sz w:val="18"/>
                              <w:szCs w:val="16"/>
                            </w:rPr>
                            <w:t xml:space="preserve"> </w:t>
                          </w:r>
                          <w:r w:rsidR="00B67CA7">
                            <w:rPr>
                              <w:rFonts w:ascii="Century Gothic" w:hAnsi="Century Gothic"/>
                              <w:sz w:val="18"/>
                              <w:szCs w:val="16"/>
                            </w:rPr>
                            <w:t>1</w:t>
                          </w:r>
                          <w:r w:rsidRPr="008118E5">
                            <w:rPr>
                              <w:rFonts w:ascii="Century Gothic" w:hAnsi="Century Gothic"/>
                              <w:sz w:val="18"/>
                              <w:szCs w:val="16"/>
                            </w:rPr>
                            <w:t xml:space="preserve">, </w:t>
                          </w:r>
                          <w:r w:rsidR="00B67CA7">
                            <w:rPr>
                              <w:rFonts w:ascii="Century Gothic" w:hAnsi="Century Gothic"/>
                              <w:sz w:val="18"/>
                              <w:szCs w:val="16"/>
                            </w:rPr>
                            <w:t>June 2025</w:t>
                          </w:r>
                          <w:r w:rsidR="00580E6E">
                            <w:rPr>
                              <w:rFonts w:ascii="Century Gothic" w:hAnsi="Century Gothic"/>
                              <w:sz w:val="18"/>
                              <w:szCs w:val="16"/>
                            </w:rPr>
                            <w:t>.</w:t>
                          </w:r>
                        </w:p>
                        <w:p w14:paraId="0E930E42" w14:textId="4591BE85" w:rsidR="009A0430" w:rsidRDefault="009A0430" w:rsidP="008168FA">
                          <w:pPr>
                            <w:jc w:val="both"/>
                            <w:rPr>
                              <w:rFonts w:ascii="Century Gothic" w:hAnsi="Century Gothic"/>
                              <w:sz w:val="18"/>
                              <w:szCs w:val="16"/>
                            </w:rPr>
                          </w:pPr>
                          <w:r>
                            <w:rPr>
                              <w:rFonts w:ascii="Century Gothic" w:hAnsi="Century Gothic"/>
                              <w:sz w:val="18"/>
                              <w:szCs w:val="16"/>
                            </w:rPr>
                            <w:t xml:space="preserve">DOI: </w:t>
                          </w:r>
                          <w:r w:rsidR="00997DD9" w:rsidRPr="00997DD9">
                            <w:rPr>
                              <w:rFonts w:ascii="Century Gothic" w:hAnsi="Century Gothic"/>
                              <w:sz w:val="18"/>
                              <w:szCs w:val="16"/>
                            </w:rPr>
                            <w:t>10.35914/</w:t>
                          </w:r>
                          <w:proofErr w:type="gramStart"/>
                          <w:r w:rsidR="00997DD9" w:rsidRPr="00997DD9">
                            <w:rPr>
                              <w:rFonts w:ascii="Century Gothic" w:hAnsi="Century Gothic"/>
                              <w:sz w:val="18"/>
                              <w:szCs w:val="16"/>
                            </w:rPr>
                            <w:t>mathstat.v</w:t>
                          </w:r>
                          <w:proofErr w:type="gramEnd"/>
                          <w:r w:rsidR="00997DD9" w:rsidRPr="00997DD9">
                            <w:rPr>
                              <w:rFonts w:ascii="Century Gothic" w:hAnsi="Century Gothic"/>
                              <w:sz w:val="18"/>
                              <w:szCs w:val="16"/>
                            </w:rPr>
                            <w:t>3i1.312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0DD9A" id="_x0000_t202" coordsize="21600,21600" o:spt="202" path="m,l,21600r21600,l21600,xe">
              <v:stroke joinstyle="miter"/>
              <v:path gradientshapeok="t" o:connecttype="rect"/>
            </v:shapetype>
            <v:shape id="Text Box 7" o:spid="_x0000_s1026" type="#_x0000_t202" style="position:absolute;margin-left:.7pt;margin-top:-2.65pt;width:295.1pt;height:4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" strokecolor="white [3212]" strokeweight="0">
              <v:fill opacity="0"/>
              <v:textbox>
                <w:txbxContent>
                  <w:p w14:paraId="3A97EC87" w14:textId="199001A6" w:rsidR="008168FA" w:rsidRPr="00B01181" w:rsidRDefault="005200C0" w:rsidP="008168FA">
                    <w:pPr>
                      <w:jc w:val="both"/>
                      <w:rPr>
                        <w:rFonts w:ascii="Century Gothic" w:hAnsi="Century Gothic"/>
                        <w:b/>
                      </w:rPr>
                    </w:pPr>
                    <w:r w:rsidRPr="005200C0">
                      <w:rPr>
                        <w:rFonts w:ascii="Century Gothic" w:hAnsi="Century Gothic"/>
                        <w:b/>
                        <w:sz w:val="18"/>
                        <w:szCs w:val="16"/>
                      </w:rPr>
                      <w:t xml:space="preserve">Journal of Mathematics and </w:t>
                    </w:r>
                    <w:r w:rsidR="00002F64">
                      <w:rPr>
                        <w:rFonts w:ascii="Century Gothic" w:hAnsi="Century Gothic"/>
                        <w:b/>
                        <w:sz w:val="18"/>
                        <w:szCs w:val="16"/>
                      </w:rPr>
                      <w:t xml:space="preserve">Applied </w:t>
                    </w:r>
                    <w:r w:rsidRPr="005200C0">
                      <w:rPr>
                        <w:rFonts w:ascii="Century Gothic" w:hAnsi="Century Gothic"/>
                        <w:b/>
                        <w:sz w:val="18"/>
                        <w:szCs w:val="16"/>
                      </w:rPr>
                      <w:t>S</w:t>
                    </w:r>
                    <w:r w:rsidR="00002F64">
                      <w:rPr>
                        <w:rFonts w:ascii="Century Gothic" w:hAnsi="Century Gothic"/>
                        <w:b/>
                        <w:sz w:val="18"/>
                        <w:szCs w:val="16"/>
                      </w:rPr>
                      <w:t>tatistics</w:t>
                    </w:r>
                  </w:p>
                  <w:p w14:paraId="1EB4D402" w14:textId="77777777" w:rsidR="008168FA" w:rsidRPr="008118E5" w:rsidRDefault="008168FA" w:rsidP="008168FA">
                    <w:pPr>
                      <w:jc w:val="both"/>
                      <w:rPr>
                        <w:rFonts w:ascii="Century" w:hAnsi="Century"/>
                        <w:sz w:val="2"/>
                        <w:szCs w:val="16"/>
                      </w:rPr>
                    </w:pPr>
                  </w:p>
                  <w:p w14:paraId="26884257" w14:textId="1E6E3768"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B67CA7">
                      <w:rPr>
                        <w:rFonts w:ascii="Century Gothic" w:hAnsi="Century Gothic"/>
                        <w:sz w:val="18"/>
                        <w:szCs w:val="16"/>
                      </w:rPr>
                      <w:t>3</w:t>
                    </w:r>
                    <w:r w:rsidRPr="008118E5">
                      <w:rPr>
                        <w:rFonts w:ascii="Century Gothic" w:hAnsi="Century Gothic"/>
                        <w:sz w:val="18"/>
                        <w:szCs w:val="16"/>
                      </w:rPr>
                      <w:t>, No.</w:t>
                    </w:r>
                    <w:r>
                      <w:rPr>
                        <w:rFonts w:ascii="Century Gothic" w:hAnsi="Century Gothic"/>
                        <w:sz w:val="18"/>
                        <w:szCs w:val="16"/>
                      </w:rPr>
                      <w:t xml:space="preserve"> </w:t>
                    </w:r>
                    <w:r w:rsidR="00B67CA7">
                      <w:rPr>
                        <w:rFonts w:ascii="Century Gothic" w:hAnsi="Century Gothic"/>
                        <w:sz w:val="18"/>
                        <w:szCs w:val="16"/>
                      </w:rPr>
                      <w:t>1</w:t>
                    </w:r>
                    <w:r w:rsidRPr="008118E5">
                      <w:rPr>
                        <w:rFonts w:ascii="Century Gothic" w:hAnsi="Century Gothic"/>
                        <w:sz w:val="18"/>
                        <w:szCs w:val="16"/>
                      </w:rPr>
                      <w:t xml:space="preserve">, </w:t>
                    </w:r>
                    <w:r w:rsidR="00B67CA7">
                      <w:rPr>
                        <w:rFonts w:ascii="Century Gothic" w:hAnsi="Century Gothic"/>
                        <w:sz w:val="18"/>
                        <w:szCs w:val="16"/>
                      </w:rPr>
                      <w:t>June 2025</w:t>
                    </w:r>
                    <w:r w:rsidR="00580E6E">
                      <w:rPr>
                        <w:rFonts w:ascii="Century Gothic" w:hAnsi="Century Gothic"/>
                        <w:sz w:val="18"/>
                        <w:szCs w:val="16"/>
                      </w:rPr>
                      <w:t>.</w:t>
                    </w:r>
                  </w:p>
                  <w:p w14:paraId="0E930E42" w14:textId="4591BE85" w:rsidR="009A0430" w:rsidRDefault="009A0430" w:rsidP="008168FA">
                    <w:pPr>
                      <w:jc w:val="both"/>
                      <w:rPr>
                        <w:rFonts w:ascii="Century Gothic" w:hAnsi="Century Gothic"/>
                        <w:sz w:val="18"/>
                        <w:szCs w:val="16"/>
                      </w:rPr>
                    </w:pPr>
                    <w:r>
                      <w:rPr>
                        <w:rFonts w:ascii="Century Gothic" w:hAnsi="Century Gothic"/>
                        <w:sz w:val="18"/>
                        <w:szCs w:val="16"/>
                      </w:rPr>
                      <w:t xml:space="preserve">DOI: </w:t>
                    </w:r>
                    <w:r w:rsidR="00997DD9" w:rsidRPr="00997DD9">
                      <w:rPr>
                        <w:rFonts w:ascii="Century Gothic" w:hAnsi="Century Gothic"/>
                        <w:sz w:val="18"/>
                        <w:szCs w:val="16"/>
                      </w:rPr>
                      <w:t>10.35914/</w:t>
                    </w:r>
                    <w:proofErr w:type="gramStart"/>
                    <w:r w:rsidR="00997DD9" w:rsidRPr="00997DD9">
                      <w:rPr>
                        <w:rFonts w:ascii="Century Gothic" w:hAnsi="Century Gothic"/>
                        <w:sz w:val="18"/>
                        <w:szCs w:val="16"/>
                      </w:rPr>
                      <w:t>mathstat.v</w:t>
                    </w:r>
                    <w:proofErr w:type="gramEnd"/>
                    <w:r w:rsidR="00997DD9" w:rsidRPr="00997DD9">
                      <w:rPr>
                        <w:rFonts w:ascii="Century Gothic" w:hAnsi="Century Gothic"/>
                        <w:sz w:val="18"/>
                        <w:szCs w:val="16"/>
                      </w:rPr>
                      <w:t>3i1.312</w:t>
                    </w:r>
                  </w:p>
                </w:txbxContent>
              </v:textbox>
            </v:shape>
          </w:pict>
        </mc:Fallback>
      </mc:AlternateContent>
    </w:r>
  </w:p>
  <w:p w14:paraId="591147F9" w14:textId="0702FF31" w:rsidR="00580E6E" w:rsidRDefault="00580E6E" w:rsidP="008168FA">
    <w:pPr>
      <w:pStyle w:val="Header"/>
      <w:tabs>
        <w:tab w:val="clear" w:pos="4680"/>
        <w:tab w:val="clear" w:pos="9360"/>
        <w:tab w:val="left" w:pos="2650"/>
      </w:tabs>
      <w:rPr>
        <w:noProof/>
        <w:lang w:val="en-US" w:eastAsia="en-US"/>
      </w:rPr>
    </w:pPr>
  </w:p>
  <w:p w14:paraId="39DCC0DA" w14:textId="77777777" w:rsidR="00580E6E" w:rsidRPr="008168FA" w:rsidRDefault="00580E6E" w:rsidP="008168FA">
    <w:pPr>
      <w:pStyle w:val="Header"/>
      <w:tabs>
        <w:tab w:val="clear" w:pos="4680"/>
        <w:tab w:val="clear" w:pos="9360"/>
        <w:tab w:val="left" w:pos="26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9433A9"/>
    <w:multiLevelType w:val="multilevel"/>
    <w:tmpl w:val="3506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6279A5"/>
    <w:multiLevelType w:val="multilevel"/>
    <w:tmpl w:val="0158F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7B2203B"/>
    <w:multiLevelType w:val="multilevel"/>
    <w:tmpl w:val="6A522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15465E"/>
    <w:multiLevelType w:val="hybridMultilevel"/>
    <w:tmpl w:val="63367E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B5E52D0"/>
    <w:multiLevelType w:val="multilevel"/>
    <w:tmpl w:val="8D36E9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8"/>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3"/>
  </w:num>
  <w:num w:numId="9">
    <w:abstractNumId w:val="15"/>
  </w:num>
  <w:num w:numId="10">
    <w:abstractNumId w:val="4"/>
  </w:num>
  <w:num w:numId="11">
    <w:abstractNumId w:val="6"/>
  </w:num>
  <w:num w:numId="12">
    <w:abstractNumId w:val="13"/>
    <w:lvlOverride w:ilvl="0">
      <w:startOverride w:val="1"/>
    </w:lvlOverride>
  </w:num>
  <w:num w:numId="13">
    <w:abstractNumId w:val="0"/>
  </w:num>
  <w:num w:numId="14">
    <w:abstractNumId w:val="14"/>
  </w:num>
  <w:num w:numId="15">
    <w:abstractNumId w:val="10"/>
  </w:num>
  <w:num w:numId="16">
    <w:abstractNumId w:val="1"/>
  </w:num>
  <w:num w:numId="17">
    <w:abstractNumId w:val="9"/>
  </w:num>
  <w:num w:numId="18">
    <w:abstractNumId w:val="12"/>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IN"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2F64"/>
    <w:rsid w:val="000069C7"/>
    <w:rsid w:val="00010C63"/>
    <w:rsid w:val="00010EDF"/>
    <w:rsid w:val="00017719"/>
    <w:rsid w:val="00020A6F"/>
    <w:rsid w:val="000227C5"/>
    <w:rsid w:val="000268F0"/>
    <w:rsid w:val="00027F1D"/>
    <w:rsid w:val="0003296C"/>
    <w:rsid w:val="00033553"/>
    <w:rsid w:val="0004578F"/>
    <w:rsid w:val="00053481"/>
    <w:rsid w:val="00054421"/>
    <w:rsid w:val="00056CE7"/>
    <w:rsid w:val="00062122"/>
    <w:rsid w:val="00062E46"/>
    <w:rsid w:val="00066CB7"/>
    <w:rsid w:val="0006703C"/>
    <w:rsid w:val="00074AC8"/>
    <w:rsid w:val="00076275"/>
    <w:rsid w:val="00081408"/>
    <w:rsid w:val="00081EBE"/>
    <w:rsid w:val="00082A45"/>
    <w:rsid w:val="0008577D"/>
    <w:rsid w:val="00086EDC"/>
    <w:rsid w:val="00093581"/>
    <w:rsid w:val="000A6695"/>
    <w:rsid w:val="000B36A3"/>
    <w:rsid w:val="000B4A2C"/>
    <w:rsid w:val="000C013C"/>
    <w:rsid w:val="000D439B"/>
    <w:rsid w:val="000D4841"/>
    <w:rsid w:val="000D5B9A"/>
    <w:rsid w:val="000D67E4"/>
    <w:rsid w:val="000E1EA3"/>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C49"/>
    <w:rsid w:val="001747C8"/>
    <w:rsid w:val="001748AF"/>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DF2"/>
    <w:rsid w:val="00332EA4"/>
    <w:rsid w:val="003366F9"/>
    <w:rsid w:val="00353F69"/>
    <w:rsid w:val="00355B72"/>
    <w:rsid w:val="00360589"/>
    <w:rsid w:val="00360C6A"/>
    <w:rsid w:val="00360D09"/>
    <w:rsid w:val="00366B29"/>
    <w:rsid w:val="003717D0"/>
    <w:rsid w:val="00382E62"/>
    <w:rsid w:val="00384A71"/>
    <w:rsid w:val="00394DC4"/>
    <w:rsid w:val="003950A4"/>
    <w:rsid w:val="00397E48"/>
    <w:rsid w:val="003C2005"/>
    <w:rsid w:val="003C3E37"/>
    <w:rsid w:val="003C7209"/>
    <w:rsid w:val="003D138F"/>
    <w:rsid w:val="003D3E2E"/>
    <w:rsid w:val="003D4C64"/>
    <w:rsid w:val="003D74B8"/>
    <w:rsid w:val="003E3577"/>
    <w:rsid w:val="003F3A61"/>
    <w:rsid w:val="00400DC7"/>
    <w:rsid w:val="00403498"/>
    <w:rsid w:val="00410A5D"/>
    <w:rsid w:val="00414909"/>
    <w:rsid w:val="004202C3"/>
    <w:rsid w:val="004211FE"/>
    <w:rsid w:val="004216B1"/>
    <w:rsid w:val="00425A6A"/>
    <w:rsid w:val="00426FBB"/>
    <w:rsid w:val="00427112"/>
    <w:rsid w:val="004337B8"/>
    <w:rsid w:val="00434C30"/>
    <w:rsid w:val="00437CE1"/>
    <w:rsid w:val="00437E30"/>
    <w:rsid w:val="00437E48"/>
    <w:rsid w:val="0044773F"/>
    <w:rsid w:val="0046428B"/>
    <w:rsid w:val="00471085"/>
    <w:rsid w:val="0047429A"/>
    <w:rsid w:val="004772BF"/>
    <w:rsid w:val="004778A8"/>
    <w:rsid w:val="0048374C"/>
    <w:rsid w:val="0048707A"/>
    <w:rsid w:val="0048771D"/>
    <w:rsid w:val="00497DA7"/>
    <w:rsid w:val="004A1511"/>
    <w:rsid w:val="004A6605"/>
    <w:rsid w:val="004B085B"/>
    <w:rsid w:val="004B0DB7"/>
    <w:rsid w:val="004B519F"/>
    <w:rsid w:val="004B5BFE"/>
    <w:rsid w:val="004B7F34"/>
    <w:rsid w:val="004C4227"/>
    <w:rsid w:val="004C45FA"/>
    <w:rsid w:val="004C4D2E"/>
    <w:rsid w:val="004D395E"/>
    <w:rsid w:val="004D6A8C"/>
    <w:rsid w:val="004D6BC3"/>
    <w:rsid w:val="004D7355"/>
    <w:rsid w:val="004D78F2"/>
    <w:rsid w:val="004E1BD8"/>
    <w:rsid w:val="004E452A"/>
    <w:rsid w:val="004E4FE6"/>
    <w:rsid w:val="004E78E3"/>
    <w:rsid w:val="004F5EA9"/>
    <w:rsid w:val="005004BF"/>
    <w:rsid w:val="00502E89"/>
    <w:rsid w:val="00504748"/>
    <w:rsid w:val="00505FE2"/>
    <w:rsid w:val="0051095A"/>
    <w:rsid w:val="00510E95"/>
    <w:rsid w:val="0051451F"/>
    <w:rsid w:val="00515557"/>
    <w:rsid w:val="005200C0"/>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0E6E"/>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4A9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4156"/>
    <w:rsid w:val="0065712F"/>
    <w:rsid w:val="00657AE5"/>
    <w:rsid w:val="00666AA3"/>
    <w:rsid w:val="00683A5B"/>
    <w:rsid w:val="00694D34"/>
    <w:rsid w:val="00695864"/>
    <w:rsid w:val="006977E6"/>
    <w:rsid w:val="006A3AE1"/>
    <w:rsid w:val="006A4145"/>
    <w:rsid w:val="006B09B8"/>
    <w:rsid w:val="006B47CA"/>
    <w:rsid w:val="006C7AAA"/>
    <w:rsid w:val="006D1C2A"/>
    <w:rsid w:val="006D264F"/>
    <w:rsid w:val="006D3F45"/>
    <w:rsid w:val="006E2A8D"/>
    <w:rsid w:val="006E3151"/>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64603"/>
    <w:rsid w:val="0076604D"/>
    <w:rsid w:val="0077568E"/>
    <w:rsid w:val="00781DBA"/>
    <w:rsid w:val="00782C3F"/>
    <w:rsid w:val="00784428"/>
    <w:rsid w:val="007855B5"/>
    <w:rsid w:val="0078621C"/>
    <w:rsid w:val="00790909"/>
    <w:rsid w:val="0079301B"/>
    <w:rsid w:val="007A77C6"/>
    <w:rsid w:val="007B34E6"/>
    <w:rsid w:val="007B5A07"/>
    <w:rsid w:val="007B668E"/>
    <w:rsid w:val="007C7D51"/>
    <w:rsid w:val="007D3E71"/>
    <w:rsid w:val="007D750A"/>
    <w:rsid w:val="007E132A"/>
    <w:rsid w:val="007E34AA"/>
    <w:rsid w:val="007E5D6A"/>
    <w:rsid w:val="007E645D"/>
    <w:rsid w:val="007F7260"/>
    <w:rsid w:val="007F75CA"/>
    <w:rsid w:val="008045CB"/>
    <w:rsid w:val="00815DBA"/>
    <w:rsid w:val="008168FA"/>
    <w:rsid w:val="00816EA9"/>
    <w:rsid w:val="00820A91"/>
    <w:rsid w:val="00821E08"/>
    <w:rsid w:val="008230F3"/>
    <w:rsid w:val="00825A13"/>
    <w:rsid w:val="00834154"/>
    <w:rsid w:val="00834EFD"/>
    <w:rsid w:val="00841914"/>
    <w:rsid w:val="00842567"/>
    <w:rsid w:val="00842B65"/>
    <w:rsid w:val="00844B24"/>
    <w:rsid w:val="00844FAE"/>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E0EBD"/>
    <w:rsid w:val="008E2316"/>
    <w:rsid w:val="008E5277"/>
    <w:rsid w:val="008E5996"/>
    <w:rsid w:val="008F1272"/>
    <w:rsid w:val="00901AE1"/>
    <w:rsid w:val="00901EFD"/>
    <w:rsid w:val="00904754"/>
    <w:rsid w:val="00905356"/>
    <w:rsid w:val="00914E29"/>
    <w:rsid w:val="009205B4"/>
    <w:rsid w:val="009223D5"/>
    <w:rsid w:val="00922923"/>
    <w:rsid w:val="00932F60"/>
    <w:rsid w:val="00937F31"/>
    <w:rsid w:val="009408B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DD9"/>
    <w:rsid w:val="00997F50"/>
    <w:rsid w:val="009A0430"/>
    <w:rsid w:val="009A09C7"/>
    <w:rsid w:val="009A4319"/>
    <w:rsid w:val="009A6C3F"/>
    <w:rsid w:val="009A6E9C"/>
    <w:rsid w:val="009B0A53"/>
    <w:rsid w:val="009B73F2"/>
    <w:rsid w:val="009C12BD"/>
    <w:rsid w:val="009C30E3"/>
    <w:rsid w:val="009C50FE"/>
    <w:rsid w:val="009D2660"/>
    <w:rsid w:val="009D34EA"/>
    <w:rsid w:val="009D3C51"/>
    <w:rsid w:val="009F13A7"/>
    <w:rsid w:val="00A03A12"/>
    <w:rsid w:val="00A03E75"/>
    <w:rsid w:val="00A04DC8"/>
    <w:rsid w:val="00A06680"/>
    <w:rsid w:val="00A11080"/>
    <w:rsid w:val="00A12127"/>
    <w:rsid w:val="00A1414F"/>
    <w:rsid w:val="00A20D66"/>
    <w:rsid w:val="00A22FE0"/>
    <w:rsid w:val="00A23F1C"/>
    <w:rsid w:val="00A261C6"/>
    <w:rsid w:val="00A37654"/>
    <w:rsid w:val="00A4337B"/>
    <w:rsid w:val="00A45FCE"/>
    <w:rsid w:val="00A64A36"/>
    <w:rsid w:val="00A7266B"/>
    <w:rsid w:val="00A75671"/>
    <w:rsid w:val="00A773CC"/>
    <w:rsid w:val="00A87305"/>
    <w:rsid w:val="00A9318B"/>
    <w:rsid w:val="00A94AC1"/>
    <w:rsid w:val="00A95B87"/>
    <w:rsid w:val="00A9735F"/>
    <w:rsid w:val="00AA5A8D"/>
    <w:rsid w:val="00AA5E69"/>
    <w:rsid w:val="00AB18B7"/>
    <w:rsid w:val="00AB2575"/>
    <w:rsid w:val="00AC157F"/>
    <w:rsid w:val="00AD1A12"/>
    <w:rsid w:val="00AD2BAB"/>
    <w:rsid w:val="00AD335D"/>
    <w:rsid w:val="00AD3C84"/>
    <w:rsid w:val="00AE1477"/>
    <w:rsid w:val="00AF200C"/>
    <w:rsid w:val="00AF792B"/>
    <w:rsid w:val="00B00190"/>
    <w:rsid w:val="00B01181"/>
    <w:rsid w:val="00B0294E"/>
    <w:rsid w:val="00B10F2B"/>
    <w:rsid w:val="00B23EE2"/>
    <w:rsid w:val="00B24C52"/>
    <w:rsid w:val="00B333DE"/>
    <w:rsid w:val="00B3521D"/>
    <w:rsid w:val="00B55D5E"/>
    <w:rsid w:val="00B56B16"/>
    <w:rsid w:val="00B67CA7"/>
    <w:rsid w:val="00B70DE7"/>
    <w:rsid w:val="00B717BA"/>
    <w:rsid w:val="00B735B0"/>
    <w:rsid w:val="00B75787"/>
    <w:rsid w:val="00B81E91"/>
    <w:rsid w:val="00B867D4"/>
    <w:rsid w:val="00B91814"/>
    <w:rsid w:val="00B929E6"/>
    <w:rsid w:val="00B92B81"/>
    <w:rsid w:val="00B94516"/>
    <w:rsid w:val="00BA183C"/>
    <w:rsid w:val="00BA655F"/>
    <w:rsid w:val="00BA665D"/>
    <w:rsid w:val="00BA7955"/>
    <w:rsid w:val="00BB13C6"/>
    <w:rsid w:val="00BB2855"/>
    <w:rsid w:val="00BB3407"/>
    <w:rsid w:val="00BB738A"/>
    <w:rsid w:val="00BC1DA3"/>
    <w:rsid w:val="00BC57FF"/>
    <w:rsid w:val="00BC6B25"/>
    <w:rsid w:val="00BC7909"/>
    <w:rsid w:val="00BD08CB"/>
    <w:rsid w:val="00BD19C1"/>
    <w:rsid w:val="00BD25B8"/>
    <w:rsid w:val="00BD34C2"/>
    <w:rsid w:val="00BE3C75"/>
    <w:rsid w:val="00BF097D"/>
    <w:rsid w:val="00BF1228"/>
    <w:rsid w:val="00BF4618"/>
    <w:rsid w:val="00C0011E"/>
    <w:rsid w:val="00C012E1"/>
    <w:rsid w:val="00C029BD"/>
    <w:rsid w:val="00C037E5"/>
    <w:rsid w:val="00C06BB4"/>
    <w:rsid w:val="00C10D20"/>
    <w:rsid w:val="00C12AC4"/>
    <w:rsid w:val="00C12E0C"/>
    <w:rsid w:val="00C14968"/>
    <w:rsid w:val="00C21916"/>
    <w:rsid w:val="00C2650B"/>
    <w:rsid w:val="00C32E48"/>
    <w:rsid w:val="00C457CA"/>
    <w:rsid w:val="00C500EF"/>
    <w:rsid w:val="00C50BA0"/>
    <w:rsid w:val="00C52304"/>
    <w:rsid w:val="00C57349"/>
    <w:rsid w:val="00C57FB7"/>
    <w:rsid w:val="00C62CEB"/>
    <w:rsid w:val="00C65F3F"/>
    <w:rsid w:val="00C72414"/>
    <w:rsid w:val="00C7411F"/>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34BC"/>
    <w:rsid w:val="00CE562B"/>
    <w:rsid w:val="00CF75F6"/>
    <w:rsid w:val="00D05BEA"/>
    <w:rsid w:val="00D150AD"/>
    <w:rsid w:val="00D17D7F"/>
    <w:rsid w:val="00D2480A"/>
    <w:rsid w:val="00D25418"/>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4855"/>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2EA"/>
    <w:rsid w:val="00E33A00"/>
    <w:rsid w:val="00E36139"/>
    <w:rsid w:val="00E379EC"/>
    <w:rsid w:val="00E401F8"/>
    <w:rsid w:val="00E41262"/>
    <w:rsid w:val="00E42932"/>
    <w:rsid w:val="00E43EEC"/>
    <w:rsid w:val="00E4498A"/>
    <w:rsid w:val="00E44C34"/>
    <w:rsid w:val="00E46425"/>
    <w:rsid w:val="00E47D0E"/>
    <w:rsid w:val="00E512D9"/>
    <w:rsid w:val="00E53721"/>
    <w:rsid w:val="00E628A5"/>
    <w:rsid w:val="00E6457D"/>
    <w:rsid w:val="00E65018"/>
    <w:rsid w:val="00E678CD"/>
    <w:rsid w:val="00E70EE3"/>
    <w:rsid w:val="00E72D69"/>
    <w:rsid w:val="00E7529B"/>
    <w:rsid w:val="00E75C20"/>
    <w:rsid w:val="00E77E85"/>
    <w:rsid w:val="00E863E2"/>
    <w:rsid w:val="00E8787B"/>
    <w:rsid w:val="00E94339"/>
    <w:rsid w:val="00E97563"/>
    <w:rsid w:val="00EB0B63"/>
    <w:rsid w:val="00EB2163"/>
    <w:rsid w:val="00EC0FED"/>
    <w:rsid w:val="00EC1C35"/>
    <w:rsid w:val="00EC265C"/>
    <w:rsid w:val="00EC2DD7"/>
    <w:rsid w:val="00EC65B7"/>
    <w:rsid w:val="00ED25B0"/>
    <w:rsid w:val="00ED61CB"/>
    <w:rsid w:val="00ED711E"/>
    <w:rsid w:val="00EE4353"/>
    <w:rsid w:val="00EF2488"/>
    <w:rsid w:val="00EF290B"/>
    <w:rsid w:val="00EF3452"/>
    <w:rsid w:val="00EF61AD"/>
    <w:rsid w:val="00F062D8"/>
    <w:rsid w:val="00F06A72"/>
    <w:rsid w:val="00F06C6A"/>
    <w:rsid w:val="00F1242E"/>
    <w:rsid w:val="00F136F0"/>
    <w:rsid w:val="00F20BBB"/>
    <w:rsid w:val="00F20DCD"/>
    <w:rsid w:val="00F22C0B"/>
    <w:rsid w:val="00F24F69"/>
    <w:rsid w:val="00F3483B"/>
    <w:rsid w:val="00F34AE2"/>
    <w:rsid w:val="00F359FA"/>
    <w:rsid w:val="00F41BED"/>
    <w:rsid w:val="00F4394A"/>
    <w:rsid w:val="00F43BD8"/>
    <w:rsid w:val="00F55879"/>
    <w:rsid w:val="00F562F3"/>
    <w:rsid w:val="00F57140"/>
    <w:rsid w:val="00F647CA"/>
    <w:rsid w:val="00F66CC2"/>
    <w:rsid w:val="00F67BC3"/>
    <w:rsid w:val="00F73EC9"/>
    <w:rsid w:val="00F74B89"/>
    <w:rsid w:val="00F75133"/>
    <w:rsid w:val="00F80742"/>
    <w:rsid w:val="00F85074"/>
    <w:rsid w:val="00F870D3"/>
    <w:rsid w:val="00F91068"/>
    <w:rsid w:val="00F922FB"/>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C54A4"/>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BCC8DA"/>
  <w15:docId w15:val="{681CC16C-8896-4E60-A50F-FE0A943F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styleId="UnresolvedMention">
    <w:name w:val="Unresolved Mention"/>
    <w:basedOn w:val="DefaultParagraphFont"/>
    <w:uiPriority w:val="99"/>
    <w:semiHidden/>
    <w:unhideWhenUsed/>
    <w:rsid w:val="00F3483B"/>
    <w:rPr>
      <w:color w:val="605E5C"/>
      <w:shd w:val="clear" w:color="auto" w:fill="E1DFDD"/>
    </w:rPr>
  </w:style>
  <w:style w:type="table" w:styleId="PlainTable2">
    <w:name w:val="Plain Table 2"/>
    <w:basedOn w:val="TableNormal"/>
    <w:uiPriority w:val="42"/>
    <w:rsid w:val="00A23F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B085B"/>
    <w:pPr>
      <w:spacing w:before="100" w:beforeAutospacing="1" w:after="100" w:afterAutospacing="1"/>
    </w:pPr>
    <w:rPr>
      <w:rFonts w:eastAsia="Times New Roman"/>
      <w:lang w:val="id-ID" w:eastAsia="id-ID"/>
    </w:rPr>
  </w:style>
  <w:style w:type="character" w:styleId="Emphasis">
    <w:name w:val="Emphasis"/>
    <w:basedOn w:val="DefaultParagraphFont"/>
    <w:uiPriority w:val="20"/>
    <w:qFormat/>
    <w:rsid w:val="004B08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7DAE8E8-9386-4460-BA7A-6D07B7B2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jevyandr@outlook.com</cp:lastModifiedBy>
  <cp:revision>8</cp:revision>
  <cp:lastPrinted>2017-04-18T03:46:00Z</cp:lastPrinted>
  <dcterms:created xsi:type="dcterms:W3CDTF">2025-12-11T01:54:00Z</dcterms:created>
  <dcterms:modified xsi:type="dcterms:W3CDTF">2025-12-15T06:46:00Z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4a3ee318-2ec0-4993-9183-5b3f92034405</vt:lpwstr>
  </property>
</Properties>
</file>